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新宋体" w:hAnsi="新宋体" w:eastAsia="新宋体"/>
          <w:b/>
          <w:bCs/>
        </w:rPr>
      </w:pPr>
      <w:r>
        <w:rPr>
          <w:rFonts w:hint="eastAsia" w:ascii="新宋体" w:hAnsi="新宋体" w:eastAsia="新宋体"/>
          <w:b/>
          <w:bCs/>
        </w:rPr>
        <w:t>第三部分：评分标准</w:t>
      </w:r>
    </w:p>
    <w:tbl>
      <w:tblPr>
        <w:tblStyle w:val="4"/>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092"/>
        <w:gridCol w:w="670"/>
        <w:gridCol w:w="5283"/>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hAnsi="宋体"/>
                <w:b/>
                <w:sz w:val="20"/>
                <w:szCs w:val="20"/>
              </w:rPr>
            </w:pPr>
            <w:r>
              <w:rPr>
                <w:rFonts w:hAnsi="宋体"/>
                <w:b/>
                <w:sz w:val="20"/>
                <w:szCs w:val="20"/>
              </w:rPr>
              <w:t>序号</w:t>
            </w:r>
          </w:p>
        </w:tc>
        <w:tc>
          <w:tcPr>
            <w:tcW w:w="1092" w:type="dxa"/>
            <w:tcBorders>
              <w:top w:val="single" w:color="auto" w:sz="4" w:space="0"/>
              <w:left w:val="nil"/>
              <w:bottom w:val="single" w:color="auto" w:sz="4" w:space="0"/>
              <w:right w:val="single" w:color="auto" w:sz="4" w:space="0"/>
            </w:tcBorders>
            <w:vAlign w:val="center"/>
          </w:tcPr>
          <w:p>
            <w:pPr>
              <w:jc w:val="center"/>
              <w:rPr>
                <w:rFonts w:hAnsi="宋体"/>
                <w:b/>
                <w:sz w:val="20"/>
                <w:szCs w:val="20"/>
              </w:rPr>
            </w:pPr>
            <w:r>
              <w:rPr>
                <w:rFonts w:hAnsi="宋体"/>
                <w:b/>
                <w:sz w:val="20"/>
                <w:szCs w:val="20"/>
              </w:rPr>
              <w:t>评分因素</w:t>
            </w:r>
          </w:p>
          <w:p>
            <w:pPr>
              <w:jc w:val="center"/>
              <w:rPr>
                <w:rFonts w:hAnsi="宋体"/>
                <w:b/>
                <w:sz w:val="20"/>
                <w:szCs w:val="20"/>
              </w:rPr>
            </w:pPr>
            <w:r>
              <w:rPr>
                <w:rFonts w:hAnsi="宋体"/>
                <w:b/>
                <w:sz w:val="20"/>
                <w:szCs w:val="20"/>
              </w:rPr>
              <w:t>及权重</w:t>
            </w:r>
          </w:p>
        </w:tc>
        <w:tc>
          <w:tcPr>
            <w:tcW w:w="670" w:type="dxa"/>
            <w:tcBorders>
              <w:top w:val="single" w:color="auto" w:sz="4" w:space="0"/>
              <w:left w:val="nil"/>
              <w:bottom w:val="single" w:color="auto" w:sz="4" w:space="0"/>
              <w:right w:val="single" w:color="auto" w:sz="4" w:space="0"/>
            </w:tcBorders>
            <w:vAlign w:val="center"/>
          </w:tcPr>
          <w:p>
            <w:pPr>
              <w:jc w:val="center"/>
              <w:rPr>
                <w:rFonts w:hAnsi="宋体"/>
                <w:b/>
                <w:sz w:val="20"/>
                <w:szCs w:val="20"/>
              </w:rPr>
            </w:pPr>
            <w:r>
              <w:rPr>
                <w:rFonts w:hAnsi="宋体"/>
                <w:b/>
                <w:sz w:val="20"/>
                <w:szCs w:val="20"/>
              </w:rPr>
              <w:t>分值</w:t>
            </w:r>
          </w:p>
        </w:tc>
        <w:tc>
          <w:tcPr>
            <w:tcW w:w="5283" w:type="dxa"/>
            <w:tcBorders>
              <w:top w:val="single" w:color="auto" w:sz="4" w:space="0"/>
              <w:left w:val="nil"/>
              <w:bottom w:val="single" w:color="auto" w:sz="4" w:space="0"/>
              <w:right w:val="single" w:color="auto" w:sz="4" w:space="0"/>
            </w:tcBorders>
            <w:vAlign w:val="center"/>
          </w:tcPr>
          <w:p>
            <w:pPr>
              <w:jc w:val="center"/>
              <w:rPr>
                <w:rFonts w:hAnsi="宋体"/>
                <w:b/>
                <w:sz w:val="20"/>
                <w:szCs w:val="20"/>
              </w:rPr>
            </w:pPr>
            <w:r>
              <w:rPr>
                <w:rFonts w:hAnsi="宋体"/>
                <w:b/>
                <w:sz w:val="20"/>
                <w:szCs w:val="20"/>
              </w:rPr>
              <w:t>评分标准</w:t>
            </w:r>
          </w:p>
        </w:tc>
        <w:tc>
          <w:tcPr>
            <w:tcW w:w="2094" w:type="dxa"/>
            <w:tcBorders>
              <w:top w:val="single" w:color="auto" w:sz="4" w:space="0"/>
              <w:left w:val="nil"/>
              <w:bottom w:val="single" w:color="auto" w:sz="4" w:space="0"/>
              <w:right w:val="single" w:color="auto" w:sz="4" w:space="0"/>
            </w:tcBorders>
            <w:vAlign w:val="center"/>
          </w:tcPr>
          <w:p>
            <w:pPr>
              <w:jc w:val="center"/>
              <w:rPr>
                <w:rFonts w:hAnsi="宋体"/>
                <w:b/>
                <w:sz w:val="20"/>
                <w:szCs w:val="20"/>
              </w:rPr>
            </w:pPr>
            <w:r>
              <w:rPr>
                <w:rFonts w:hAnsi="宋体"/>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ind w:firstLine="28"/>
              <w:jc w:val="center"/>
              <w:rPr>
                <w:rFonts w:hAnsi="宋体"/>
                <w:sz w:val="20"/>
                <w:szCs w:val="20"/>
              </w:rPr>
            </w:pPr>
            <w:r>
              <w:rPr>
                <w:rFonts w:hAnsi="宋体"/>
                <w:sz w:val="20"/>
                <w:szCs w:val="20"/>
              </w:rPr>
              <w:t>1</w:t>
            </w:r>
          </w:p>
        </w:tc>
        <w:tc>
          <w:tcPr>
            <w:tcW w:w="1092" w:type="dxa"/>
            <w:tcBorders>
              <w:top w:val="single" w:color="auto" w:sz="4" w:space="0"/>
              <w:left w:val="nil"/>
              <w:bottom w:val="single" w:color="auto" w:sz="4" w:space="0"/>
              <w:right w:val="single" w:color="auto" w:sz="4" w:space="0"/>
            </w:tcBorders>
            <w:vAlign w:val="center"/>
          </w:tcPr>
          <w:p>
            <w:pPr>
              <w:ind w:firstLine="28"/>
              <w:jc w:val="center"/>
              <w:rPr>
                <w:rFonts w:hAnsi="宋体"/>
                <w:sz w:val="20"/>
                <w:szCs w:val="20"/>
              </w:rPr>
            </w:pPr>
            <w:r>
              <w:rPr>
                <w:rFonts w:hAnsi="宋体"/>
                <w:sz w:val="20"/>
                <w:szCs w:val="20"/>
              </w:rPr>
              <w:t xml:space="preserve">报价 </w:t>
            </w:r>
            <w:r>
              <w:rPr>
                <w:rFonts w:hint="eastAsia" w:hAnsi="宋体"/>
                <w:sz w:val="20"/>
                <w:szCs w:val="20"/>
              </w:rPr>
              <w:t>40</w:t>
            </w:r>
            <w:r>
              <w:rPr>
                <w:rFonts w:hAnsi="宋体"/>
                <w:sz w:val="20"/>
                <w:szCs w:val="20"/>
              </w:rPr>
              <w:t>%</w:t>
            </w:r>
          </w:p>
        </w:tc>
        <w:tc>
          <w:tcPr>
            <w:tcW w:w="670" w:type="dxa"/>
            <w:tcBorders>
              <w:top w:val="single" w:color="auto" w:sz="4" w:space="0"/>
              <w:left w:val="nil"/>
              <w:bottom w:val="single" w:color="auto" w:sz="4" w:space="0"/>
              <w:right w:val="single" w:color="auto" w:sz="4" w:space="0"/>
            </w:tcBorders>
            <w:vAlign w:val="center"/>
          </w:tcPr>
          <w:p>
            <w:pPr>
              <w:ind w:firstLine="28"/>
              <w:jc w:val="center"/>
              <w:rPr>
                <w:rFonts w:hAnsi="宋体"/>
                <w:sz w:val="20"/>
                <w:szCs w:val="20"/>
              </w:rPr>
            </w:pPr>
            <w:r>
              <w:rPr>
                <w:rFonts w:hint="eastAsia" w:hAnsi="宋体"/>
                <w:sz w:val="20"/>
                <w:szCs w:val="20"/>
              </w:rPr>
              <w:t>40</w:t>
            </w:r>
          </w:p>
        </w:tc>
        <w:tc>
          <w:tcPr>
            <w:tcW w:w="5283" w:type="dxa"/>
            <w:tcBorders>
              <w:top w:val="single" w:color="auto" w:sz="4" w:space="0"/>
              <w:left w:val="nil"/>
              <w:bottom w:val="single" w:color="auto" w:sz="4" w:space="0"/>
              <w:right w:val="single" w:color="auto" w:sz="4" w:space="0"/>
            </w:tcBorders>
            <w:vAlign w:val="center"/>
          </w:tcPr>
          <w:p>
            <w:pPr>
              <w:widowControl/>
              <w:rPr>
                <w:rFonts w:hAnsi="宋体"/>
                <w:sz w:val="20"/>
                <w:szCs w:val="20"/>
              </w:rPr>
            </w:pPr>
            <w:r>
              <w:rPr>
                <w:rFonts w:hAnsi="宋体" w:cs="宋体"/>
                <w:sz w:val="20"/>
                <w:szCs w:val="20"/>
              </w:rPr>
              <w:t>满足招标文件要求且投标价格最低的投标报价为评标基准价，其价格分为满分。其他投标人的价格分统一按照下列公式计算：投标报价得分=(评标基准价／投标报价)*</w:t>
            </w:r>
            <w:r>
              <w:rPr>
                <w:rFonts w:hint="eastAsia" w:hAnsi="宋体" w:cs="宋体"/>
                <w:sz w:val="20"/>
                <w:szCs w:val="20"/>
              </w:rPr>
              <w:t>40</w:t>
            </w:r>
            <w:r>
              <w:rPr>
                <w:rFonts w:hAnsi="宋体" w:cs="宋体"/>
                <w:sz w:val="20"/>
                <w:szCs w:val="20"/>
              </w:rPr>
              <w:t>分</w:t>
            </w:r>
          </w:p>
        </w:tc>
        <w:tc>
          <w:tcPr>
            <w:tcW w:w="2094" w:type="dxa"/>
            <w:tcBorders>
              <w:top w:val="single" w:color="auto" w:sz="4" w:space="0"/>
              <w:left w:val="nil"/>
              <w:bottom w:val="single" w:color="auto" w:sz="4" w:space="0"/>
              <w:right w:val="single" w:color="auto" w:sz="4" w:space="0"/>
            </w:tcBorders>
            <w:vAlign w:val="center"/>
          </w:tcPr>
          <w:p>
            <w:pPr>
              <w:ind w:left="-38"/>
              <w:jc w:val="center"/>
              <w:rPr>
                <w:rFonts w:hAnsi="宋体"/>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ind w:firstLine="28"/>
              <w:jc w:val="center"/>
              <w:rPr>
                <w:rFonts w:hAnsi="宋体"/>
                <w:sz w:val="20"/>
                <w:szCs w:val="20"/>
              </w:rPr>
            </w:pPr>
            <w:r>
              <w:rPr>
                <w:rFonts w:hAnsi="宋体"/>
                <w:sz w:val="20"/>
                <w:szCs w:val="20"/>
              </w:rPr>
              <w:t>2</w:t>
            </w:r>
          </w:p>
        </w:tc>
        <w:tc>
          <w:tcPr>
            <w:tcW w:w="1092" w:type="dxa"/>
            <w:tcBorders>
              <w:top w:val="single" w:color="auto" w:sz="4" w:space="0"/>
              <w:left w:val="nil"/>
              <w:bottom w:val="single" w:color="auto" w:sz="4" w:space="0"/>
              <w:right w:val="single" w:color="auto" w:sz="4" w:space="0"/>
            </w:tcBorders>
            <w:vAlign w:val="center"/>
          </w:tcPr>
          <w:p>
            <w:pPr>
              <w:ind w:firstLine="28"/>
              <w:jc w:val="center"/>
              <w:rPr>
                <w:rFonts w:hAnsi="宋体" w:cs="宋体"/>
                <w:sz w:val="20"/>
                <w:szCs w:val="20"/>
              </w:rPr>
            </w:pPr>
            <w:r>
              <w:rPr>
                <w:rFonts w:hAnsi="宋体" w:cs="宋体"/>
                <w:sz w:val="20"/>
                <w:szCs w:val="20"/>
              </w:rPr>
              <w:t>技术指标及配置</w:t>
            </w:r>
          </w:p>
          <w:p>
            <w:pPr>
              <w:ind w:firstLine="28"/>
              <w:jc w:val="center"/>
              <w:rPr>
                <w:rFonts w:hAnsi="宋体"/>
                <w:sz w:val="20"/>
                <w:szCs w:val="20"/>
              </w:rPr>
            </w:pPr>
            <w:r>
              <w:rPr>
                <w:rFonts w:hint="eastAsia"/>
                <w:sz w:val="20"/>
                <w:szCs w:val="20"/>
              </w:rPr>
              <w:t>30</w:t>
            </w:r>
            <w:r>
              <w:rPr>
                <w:rFonts w:hAnsi="宋体" w:cs="宋体"/>
                <w:sz w:val="20"/>
                <w:szCs w:val="20"/>
              </w:rPr>
              <w:t>%</w:t>
            </w:r>
          </w:p>
        </w:tc>
        <w:tc>
          <w:tcPr>
            <w:tcW w:w="670" w:type="dxa"/>
            <w:tcBorders>
              <w:top w:val="single" w:color="auto" w:sz="4" w:space="0"/>
              <w:left w:val="nil"/>
              <w:bottom w:val="single" w:color="auto" w:sz="4" w:space="0"/>
              <w:right w:val="single" w:color="auto" w:sz="4" w:space="0"/>
            </w:tcBorders>
            <w:vAlign w:val="center"/>
          </w:tcPr>
          <w:p>
            <w:pPr>
              <w:ind w:firstLine="28"/>
              <w:jc w:val="center"/>
              <w:rPr>
                <w:rFonts w:hAnsi="宋体"/>
                <w:sz w:val="20"/>
                <w:szCs w:val="20"/>
              </w:rPr>
            </w:pPr>
            <w:r>
              <w:rPr>
                <w:rFonts w:hint="eastAsia"/>
                <w:sz w:val="20"/>
                <w:szCs w:val="20"/>
              </w:rPr>
              <w:t>30</w:t>
            </w:r>
          </w:p>
        </w:tc>
        <w:tc>
          <w:tcPr>
            <w:tcW w:w="5283" w:type="dxa"/>
            <w:tcBorders>
              <w:top w:val="single" w:color="auto" w:sz="4" w:space="0"/>
              <w:left w:val="nil"/>
              <w:bottom w:val="single" w:color="auto" w:sz="4" w:space="0"/>
              <w:right w:val="single" w:color="auto" w:sz="4" w:space="0"/>
            </w:tcBorders>
            <w:vAlign w:val="center"/>
          </w:tcPr>
          <w:p>
            <w:pPr>
              <w:widowControl/>
              <w:rPr>
                <w:rFonts w:hAnsi="宋体" w:cs="宋体"/>
                <w:sz w:val="20"/>
                <w:szCs w:val="20"/>
              </w:rPr>
            </w:pPr>
            <w:r>
              <w:rPr>
                <w:rFonts w:hAnsi="宋体" w:cs="宋体"/>
                <w:sz w:val="20"/>
                <w:szCs w:val="20"/>
              </w:rPr>
              <w:t>完全符合招标文件★</w:t>
            </w:r>
            <w:bookmarkStart w:id="0" w:name="_GoBack"/>
            <w:bookmarkEnd w:id="0"/>
            <w:r>
              <w:rPr>
                <w:rFonts w:hAnsi="宋体" w:cs="宋体"/>
                <w:sz w:val="20"/>
                <w:szCs w:val="20"/>
              </w:rPr>
              <w:t>条款技术要求得</w:t>
            </w:r>
            <w:r>
              <w:rPr>
                <w:rFonts w:hint="eastAsia" w:hAnsi="宋体" w:cs="宋体"/>
                <w:sz w:val="20"/>
                <w:szCs w:val="20"/>
              </w:rPr>
              <w:t>30</w:t>
            </w:r>
            <w:r>
              <w:rPr>
                <w:rFonts w:hAnsi="宋体" w:cs="宋体"/>
                <w:sz w:val="20"/>
                <w:szCs w:val="20"/>
              </w:rPr>
              <w:t>分，不满足招标文件★条款技术要求（负偏离）的，一项扣3分，扣完为止。</w:t>
            </w:r>
          </w:p>
        </w:tc>
        <w:tc>
          <w:tcPr>
            <w:tcW w:w="2094" w:type="dxa"/>
            <w:tcBorders>
              <w:top w:val="single" w:color="auto" w:sz="4" w:space="0"/>
              <w:left w:val="nil"/>
              <w:bottom w:val="single" w:color="auto" w:sz="4" w:space="0"/>
              <w:right w:val="single" w:color="auto" w:sz="4" w:space="0"/>
            </w:tcBorders>
            <w:vAlign w:val="center"/>
          </w:tcPr>
          <w:p>
            <w:pPr>
              <w:rPr>
                <w:rFonts w:ascii="新宋体" w:hAnsi="新宋体" w:eastAsia="新宋体"/>
                <w:b/>
                <w:bCs/>
                <w:sz w:val="18"/>
                <w:szCs w:val="18"/>
              </w:rPr>
            </w:pPr>
            <w:r>
              <w:rPr>
                <w:rFonts w:hint="eastAsia" w:ascii="宋体" w:hAnsi="宋体" w:cs="宋体"/>
                <w:sz w:val="20"/>
                <w:szCs w:val="20"/>
              </w:rPr>
              <w:t>★</w:t>
            </w:r>
            <w:r>
              <w:rPr>
                <w:rFonts w:hAnsi="宋体" w:cs="宋体"/>
                <w:sz w:val="20"/>
                <w:szCs w:val="20"/>
              </w:rPr>
              <w:t>条款需提供由国家法定检验机构出具的合格检验报告复印件加盖投标人公章；</w:t>
            </w:r>
            <w:r>
              <w:rPr>
                <w:rFonts w:hint="eastAsia" w:ascii="新宋体" w:hAnsi="新宋体" w:eastAsia="新宋体" w:cs="宋体"/>
                <w:sz w:val="20"/>
                <w:szCs w:val="20"/>
              </w:rPr>
              <w:t>检验报告的“面料及产品名称和规格”必须与招标文件</w:t>
            </w:r>
            <w:r>
              <w:rPr>
                <w:rFonts w:hint="eastAsia" w:ascii="新宋体" w:hAnsi="新宋体" w:eastAsia="新宋体"/>
                <w:bCs/>
                <w:sz w:val="20"/>
                <w:szCs w:val="20"/>
              </w:rPr>
              <w:t>要求的</w:t>
            </w:r>
            <w:r>
              <w:rPr>
                <w:rFonts w:hint="eastAsia" w:ascii="新宋体" w:hAnsi="新宋体" w:eastAsia="新宋体" w:cs="宋体"/>
                <w:sz w:val="20"/>
                <w:szCs w:val="20"/>
              </w:rPr>
              <w:t>检验报告“面料及产品名称和规格”相符，否则该份检验报告不得分。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711" w:type="dxa"/>
            <w:vMerge w:val="restart"/>
            <w:tcBorders>
              <w:top w:val="nil"/>
              <w:left w:val="single" w:color="auto" w:sz="4" w:space="0"/>
              <w:bottom w:val="single" w:color="auto" w:sz="4" w:space="0"/>
              <w:right w:val="single" w:color="auto" w:sz="4" w:space="0"/>
            </w:tcBorders>
            <w:vAlign w:val="center"/>
          </w:tcPr>
          <w:p>
            <w:pPr>
              <w:ind w:firstLine="28"/>
              <w:jc w:val="center"/>
              <w:rPr>
                <w:rFonts w:hAnsi="宋体"/>
                <w:sz w:val="20"/>
                <w:szCs w:val="20"/>
              </w:rPr>
            </w:pPr>
            <w:r>
              <w:rPr>
                <w:sz w:val="20"/>
                <w:szCs w:val="20"/>
              </w:rPr>
              <w:t>3</w:t>
            </w:r>
          </w:p>
        </w:tc>
        <w:tc>
          <w:tcPr>
            <w:tcW w:w="1092" w:type="dxa"/>
            <w:vMerge w:val="restart"/>
            <w:tcBorders>
              <w:top w:val="nil"/>
              <w:left w:val="nil"/>
              <w:bottom w:val="single" w:color="auto" w:sz="4" w:space="0"/>
              <w:right w:val="single" w:color="auto" w:sz="4" w:space="0"/>
            </w:tcBorders>
            <w:vAlign w:val="center"/>
          </w:tcPr>
          <w:p>
            <w:pPr>
              <w:adjustRightInd w:val="0"/>
              <w:snapToGrid w:val="0"/>
              <w:rPr>
                <w:rFonts w:ascii="新宋体" w:hAnsi="新宋体" w:eastAsia="新宋体"/>
                <w:sz w:val="20"/>
                <w:szCs w:val="20"/>
              </w:rPr>
            </w:pPr>
            <w:r>
              <w:rPr>
                <w:rFonts w:hint="eastAsia" w:ascii="新宋体" w:hAnsi="新宋体" w:eastAsia="新宋体"/>
                <w:sz w:val="20"/>
                <w:szCs w:val="20"/>
              </w:rPr>
              <w:t>针对此项目的生产技术管理能力、应急物资储备能力、产品质量保障措施、售后服务能力21%</w:t>
            </w:r>
          </w:p>
        </w:tc>
        <w:tc>
          <w:tcPr>
            <w:tcW w:w="670" w:type="dxa"/>
            <w:vMerge w:val="restart"/>
            <w:tcBorders>
              <w:top w:val="nil"/>
              <w:left w:val="nil"/>
              <w:bottom w:val="single" w:color="auto" w:sz="4" w:space="0"/>
              <w:right w:val="single" w:color="auto" w:sz="4" w:space="0"/>
            </w:tcBorders>
            <w:vAlign w:val="center"/>
          </w:tcPr>
          <w:p>
            <w:pPr>
              <w:adjustRightInd w:val="0"/>
              <w:snapToGrid w:val="0"/>
              <w:ind w:firstLine="28"/>
              <w:jc w:val="center"/>
              <w:rPr>
                <w:rFonts w:ascii="新宋体" w:hAnsi="新宋体" w:eastAsia="新宋体"/>
                <w:sz w:val="20"/>
                <w:szCs w:val="20"/>
              </w:rPr>
            </w:pPr>
            <w:r>
              <w:rPr>
                <w:rFonts w:hint="eastAsia" w:ascii="新宋体" w:hAnsi="新宋体" w:eastAsia="新宋体"/>
                <w:sz w:val="20"/>
                <w:szCs w:val="20"/>
              </w:rPr>
              <w:t>21</w:t>
            </w:r>
          </w:p>
        </w:tc>
        <w:tc>
          <w:tcPr>
            <w:tcW w:w="5283" w:type="dxa"/>
            <w:tcBorders>
              <w:top w:val="single" w:color="auto" w:sz="4" w:space="0"/>
              <w:left w:val="nil"/>
              <w:bottom w:val="single" w:color="auto" w:sz="4" w:space="0"/>
              <w:right w:val="single" w:color="auto" w:sz="4" w:space="0"/>
            </w:tcBorders>
            <w:vAlign w:val="center"/>
          </w:tcPr>
          <w:p>
            <w:pPr>
              <w:pStyle w:val="6"/>
              <w:numPr>
                <w:ilvl w:val="0"/>
                <w:numId w:val="1"/>
              </w:numPr>
              <w:ind w:firstLineChars="0"/>
              <w:rPr>
                <w:rFonts w:ascii="新宋体" w:hAnsi="新宋体" w:eastAsia="新宋体"/>
                <w:sz w:val="20"/>
                <w:szCs w:val="20"/>
              </w:rPr>
            </w:pPr>
            <w:r>
              <w:rPr>
                <w:rFonts w:hint="eastAsia" w:ascii="新宋体" w:hAnsi="新宋体" w:eastAsia="新宋体"/>
                <w:sz w:val="20"/>
                <w:szCs w:val="20"/>
              </w:rPr>
              <w:t>针对此项目的生产技术管理能力</w:t>
            </w:r>
          </w:p>
          <w:p>
            <w:pPr>
              <w:ind w:firstLine="400" w:firstLineChars="200"/>
              <w:rPr>
                <w:rFonts w:hint="eastAsia" w:ascii="新宋体" w:hAnsi="新宋体" w:eastAsia="新宋体"/>
                <w:sz w:val="20"/>
                <w:szCs w:val="20"/>
              </w:rPr>
            </w:pPr>
            <w:r>
              <w:rPr>
                <w:rFonts w:hint="eastAsia" w:ascii="新宋体" w:hAnsi="新宋体" w:eastAsia="新宋体"/>
                <w:sz w:val="20"/>
                <w:szCs w:val="20"/>
              </w:rPr>
              <w:t>为确保产品的制作工艺水平，投标企业生产技术管理人员需具备符合专业的技术职称或技术等级证书，需具备专业的生产技术管理能力。（需提供相关技术等级证明材料及生产技术管理人员专业技术能力介绍）。</w:t>
            </w:r>
          </w:p>
          <w:p>
            <w:pPr>
              <w:ind w:firstLine="400" w:firstLineChars="200"/>
              <w:rPr>
                <w:rFonts w:ascii="新宋体" w:hAnsi="新宋体" w:eastAsia="新宋体"/>
                <w:sz w:val="20"/>
                <w:szCs w:val="20"/>
              </w:rPr>
            </w:pPr>
            <w:r>
              <w:rPr>
                <w:rFonts w:hint="eastAsia" w:ascii="新宋体" w:hAnsi="新宋体" w:eastAsia="新宋体"/>
                <w:sz w:val="20"/>
                <w:szCs w:val="20"/>
              </w:rPr>
              <w:t>内容详细完善符，投标企业的生产技术管理人员专业技术能力较好的得6分；内容简单，投标企业的生产技术管理人员专业技术一般的得3分；投标企业的生产技术管理人员专业技术能力较差的不得分。</w:t>
            </w:r>
          </w:p>
        </w:tc>
        <w:tc>
          <w:tcPr>
            <w:tcW w:w="2094" w:type="dxa"/>
            <w:vMerge w:val="restart"/>
            <w:tcBorders>
              <w:top w:val="nil"/>
              <w:left w:val="nil"/>
              <w:bottom w:val="single" w:color="auto" w:sz="4" w:space="0"/>
              <w:right w:val="single" w:color="auto" w:sz="4" w:space="0"/>
            </w:tcBorders>
            <w:vAlign w:val="center"/>
          </w:tcPr>
          <w:p>
            <w:pPr>
              <w:widowControl/>
              <w:rPr>
                <w:rFonts w:hAnsi="宋体" w:cs="宋体"/>
                <w:sz w:val="20"/>
                <w:szCs w:val="20"/>
              </w:rPr>
            </w:pPr>
            <w:r>
              <w:rPr>
                <w:rFonts w:hint="eastAsia" w:ascii="新宋体" w:hAnsi="新宋体" w:eastAsia="新宋体"/>
                <w:sz w:val="20"/>
                <w:szCs w:val="20"/>
              </w:rPr>
              <w:t>根据投标文件中的方案内容及证明材料评定。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rPr>
                <w:rFonts w:hAnsi="宋体"/>
                <w:sz w:val="20"/>
                <w:szCs w:val="20"/>
              </w:rPr>
            </w:pPr>
          </w:p>
        </w:tc>
        <w:tc>
          <w:tcPr>
            <w:tcW w:w="1092" w:type="dxa"/>
            <w:vMerge w:val="continue"/>
            <w:tcBorders>
              <w:top w:val="nil"/>
              <w:left w:val="nil"/>
              <w:bottom w:val="single" w:color="auto" w:sz="4" w:space="0"/>
              <w:right w:val="single" w:color="auto" w:sz="4" w:space="0"/>
            </w:tcBorders>
            <w:vAlign w:val="center"/>
          </w:tcPr>
          <w:p>
            <w:pPr>
              <w:widowControl/>
              <w:rPr>
                <w:rFonts w:ascii="新宋体" w:hAnsi="新宋体" w:eastAsia="新宋体"/>
                <w:sz w:val="20"/>
                <w:szCs w:val="20"/>
              </w:rPr>
            </w:pPr>
          </w:p>
        </w:tc>
        <w:tc>
          <w:tcPr>
            <w:tcW w:w="670" w:type="dxa"/>
            <w:vMerge w:val="continue"/>
            <w:tcBorders>
              <w:top w:val="nil"/>
              <w:left w:val="nil"/>
              <w:bottom w:val="single" w:color="auto" w:sz="4" w:space="0"/>
              <w:right w:val="single" w:color="auto" w:sz="4" w:space="0"/>
            </w:tcBorders>
            <w:vAlign w:val="center"/>
          </w:tcPr>
          <w:p>
            <w:pPr>
              <w:widowControl/>
              <w:rPr>
                <w:rFonts w:ascii="新宋体" w:hAnsi="新宋体" w:eastAsia="新宋体"/>
                <w:sz w:val="20"/>
                <w:szCs w:val="20"/>
              </w:rPr>
            </w:pPr>
          </w:p>
        </w:tc>
        <w:tc>
          <w:tcPr>
            <w:tcW w:w="5283" w:type="dxa"/>
            <w:tcBorders>
              <w:top w:val="single" w:color="auto" w:sz="4" w:space="0"/>
              <w:left w:val="nil"/>
              <w:bottom w:val="single" w:color="auto" w:sz="4" w:space="0"/>
              <w:right w:val="single" w:color="auto" w:sz="4" w:space="0"/>
            </w:tcBorders>
            <w:vAlign w:val="center"/>
          </w:tcPr>
          <w:p>
            <w:pPr>
              <w:rPr>
                <w:rFonts w:ascii="新宋体" w:hAnsi="新宋体" w:eastAsia="新宋体"/>
                <w:sz w:val="20"/>
                <w:szCs w:val="20"/>
              </w:rPr>
            </w:pPr>
            <w:r>
              <w:rPr>
                <w:rFonts w:hint="eastAsia" w:ascii="新宋体" w:hAnsi="新宋体" w:eastAsia="新宋体"/>
                <w:sz w:val="20"/>
                <w:szCs w:val="20"/>
              </w:rPr>
              <w:t>2.应急物资储备保障方面的能力；</w:t>
            </w:r>
          </w:p>
          <w:p>
            <w:pPr>
              <w:ind w:firstLine="400" w:firstLineChars="200"/>
              <w:rPr>
                <w:rFonts w:hint="eastAsia" w:ascii="新宋体" w:hAnsi="新宋体" w:eastAsia="新宋体"/>
                <w:sz w:val="20"/>
                <w:szCs w:val="20"/>
              </w:rPr>
            </w:pPr>
            <w:r>
              <w:rPr>
                <w:rFonts w:hint="eastAsia" w:ascii="新宋体" w:hAnsi="新宋体" w:eastAsia="新宋体"/>
                <w:sz w:val="20"/>
                <w:szCs w:val="20"/>
              </w:rPr>
              <w:t>在重大自然灾害或重大疫情急需时，投标企业能够在最短的时间内提供原材料生产保障。（提供原材料储备方案）</w:t>
            </w:r>
          </w:p>
          <w:p>
            <w:pPr>
              <w:ind w:firstLine="400" w:firstLineChars="200"/>
              <w:rPr>
                <w:rFonts w:ascii="新宋体" w:hAnsi="新宋体" w:eastAsia="新宋体"/>
                <w:sz w:val="20"/>
                <w:szCs w:val="20"/>
              </w:rPr>
            </w:pPr>
            <w:r>
              <w:rPr>
                <w:rFonts w:hint="eastAsia" w:ascii="新宋体" w:hAnsi="新宋体" w:eastAsia="新宋体"/>
                <w:sz w:val="20"/>
                <w:szCs w:val="20"/>
              </w:rPr>
              <w:t>储备方案详细完善符合主题的得6分、储备方案较为简单的得3分、储备方案较差的不得分。</w:t>
            </w:r>
          </w:p>
        </w:tc>
        <w:tc>
          <w:tcPr>
            <w:tcW w:w="2094" w:type="dxa"/>
            <w:vMerge w:val="continue"/>
            <w:tcBorders>
              <w:top w:val="nil"/>
              <w:left w:val="nil"/>
              <w:bottom w:val="single" w:color="auto" w:sz="4" w:space="0"/>
              <w:right w:val="single" w:color="auto" w:sz="4" w:space="0"/>
            </w:tcBorders>
            <w:vAlign w:val="center"/>
          </w:tcPr>
          <w:p>
            <w:pPr>
              <w:widowControl/>
              <w:rPr>
                <w:rFonts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rPr>
                <w:rFonts w:hAnsi="宋体"/>
                <w:sz w:val="20"/>
                <w:szCs w:val="20"/>
              </w:rPr>
            </w:pPr>
          </w:p>
        </w:tc>
        <w:tc>
          <w:tcPr>
            <w:tcW w:w="1092" w:type="dxa"/>
            <w:vMerge w:val="continue"/>
            <w:tcBorders>
              <w:top w:val="nil"/>
              <w:left w:val="nil"/>
              <w:bottom w:val="single" w:color="auto" w:sz="4" w:space="0"/>
              <w:right w:val="single" w:color="auto" w:sz="4" w:space="0"/>
            </w:tcBorders>
            <w:vAlign w:val="center"/>
          </w:tcPr>
          <w:p>
            <w:pPr>
              <w:widowControl/>
              <w:rPr>
                <w:rFonts w:ascii="新宋体" w:hAnsi="新宋体" w:eastAsia="新宋体"/>
                <w:sz w:val="20"/>
                <w:szCs w:val="20"/>
              </w:rPr>
            </w:pPr>
          </w:p>
        </w:tc>
        <w:tc>
          <w:tcPr>
            <w:tcW w:w="670" w:type="dxa"/>
            <w:vMerge w:val="continue"/>
            <w:tcBorders>
              <w:top w:val="nil"/>
              <w:left w:val="nil"/>
              <w:bottom w:val="single" w:color="auto" w:sz="4" w:space="0"/>
              <w:right w:val="single" w:color="auto" w:sz="4" w:space="0"/>
            </w:tcBorders>
            <w:vAlign w:val="center"/>
          </w:tcPr>
          <w:p>
            <w:pPr>
              <w:widowControl/>
              <w:rPr>
                <w:rFonts w:ascii="新宋体" w:hAnsi="新宋体" w:eastAsia="新宋体"/>
                <w:sz w:val="20"/>
                <w:szCs w:val="20"/>
              </w:rPr>
            </w:pPr>
          </w:p>
        </w:tc>
        <w:tc>
          <w:tcPr>
            <w:tcW w:w="5283" w:type="dxa"/>
            <w:tcBorders>
              <w:top w:val="single" w:color="auto" w:sz="4" w:space="0"/>
              <w:left w:val="nil"/>
              <w:bottom w:val="single" w:color="auto" w:sz="4" w:space="0"/>
              <w:right w:val="single" w:color="auto" w:sz="4" w:space="0"/>
            </w:tcBorders>
            <w:vAlign w:val="center"/>
          </w:tcPr>
          <w:p>
            <w:pPr>
              <w:widowControl/>
              <w:rPr>
                <w:rFonts w:ascii="新宋体" w:hAnsi="新宋体" w:eastAsia="新宋体"/>
                <w:sz w:val="20"/>
                <w:szCs w:val="20"/>
              </w:rPr>
            </w:pPr>
            <w:r>
              <w:rPr>
                <w:rFonts w:hint="eastAsia" w:ascii="新宋体" w:hAnsi="新宋体" w:eastAsia="新宋体"/>
                <w:sz w:val="20"/>
                <w:szCs w:val="20"/>
              </w:rPr>
              <w:t>3. 产品质量保障措施；</w:t>
            </w:r>
          </w:p>
          <w:p>
            <w:pPr>
              <w:widowControl/>
              <w:ind w:firstLine="400" w:firstLineChars="200"/>
              <w:rPr>
                <w:rFonts w:hint="eastAsia" w:ascii="新宋体" w:hAnsi="新宋体" w:eastAsia="新宋体"/>
                <w:sz w:val="20"/>
                <w:szCs w:val="20"/>
              </w:rPr>
            </w:pPr>
            <w:r>
              <w:rPr>
                <w:rFonts w:hint="eastAsia" w:ascii="新宋体" w:hAnsi="新宋体" w:eastAsia="新宋体"/>
                <w:sz w:val="20"/>
                <w:szCs w:val="20"/>
              </w:rPr>
              <w:t>投标企业有完善质量保障措施和专业的质量管控人员，能够有效的保障产品质量。（提供投标企业质量管控方案）。</w:t>
            </w:r>
          </w:p>
          <w:p>
            <w:pPr>
              <w:rPr>
                <w:rFonts w:ascii="新宋体" w:hAnsi="新宋体" w:eastAsia="新宋体"/>
                <w:sz w:val="20"/>
                <w:szCs w:val="20"/>
              </w:rPr>
            </w:pPr>
            <w:r>
              <w:rPr>
                <w:rFonts w:hint="eastAsia" w:ascii="新宋体" w:hAnsi="新宋体" w:eastAsia="新宋体"/>
                <w:sz w:val="20"/>
                <w:szCs w:val="20"/>
              </w:rPr>
              <w:t>质量保障措施完善，有专业的质量管控团队得6分；</w:t>
            </w:r>
            <w:r>
              <w:rPr>
                <w:rFonts w:hint="eastAsia" w:ascii="新宋体" w:hAnsi="新宋体" w:eastAsia="新宋体" w:cs="宋体"/>
                <w:sz w:val="20"/>
                <w:szCs w:val="20"/>
              </w:rPr>
              <w:t>质量保障措施</w:t>
            </w:r>
            <w:r>
              <w:rPr>
                <w:rFonts w:hint="eastAsia" w:ascii="新宋体" w:hAnsi="新宋体" w:eastAsia="新宋体"/>
                <w:sz w:val="20"/>
                <w:szCs w:val="20"/>
              </w:rPr>
              <w:t>一般，质量管控人员较少的得3分；</w:t>
            </w:r>
            <w:r>
              <w:rPr>
                <w:rFonts w:hint="eastAsia" w:ascii="新宋体" w:hAnsi="新宋体" w:eastAsia="新宋体" w:cs="宋体"/>
                <w:sz w:val="20"/>
                <w:szCs w:val="20"/>
              </w:rPr>
              <w:t>质量保障措施</w:t>
            </w:r>
            <w:r>
              <w:rPr>
                <w:rFonts w:hint="eastAsia" w:ascii="新宋体" w:hAnsi="新宋体" w:eastAsia="新宋体"/>
                <w:sz w:val="20"/>
                <w:szCs w:val="20"/>
              </w:rPr>
              <w:t>较差的不得分。</w:t>
            </w:r>
          </w:p>
        </w:tc>
        <w:tc>
          <w:tcPr>
            <w:tcW w:w="2094" w:type="dxa"/>
            <w:vMerge w:val="continue"/>
            <w:tcBorders>
              <w:top w:val="nil"/>
              <w:left w:val="nil"/>
              <w:bottom w:val="single" w:color="auto" w:sz="4" w:space="0"/>
              <w:right w:val="single" w:color="auto" w:sz="4" w:space="0"/>
            </w:tcBorders>
            <w:vAlign w:val="center"/>
          </w:tcPr>
          <w:p>
            <w:pPr>
              <w:widowControl/>
              <w:rPr>
                <w:rFonts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rPr>
                <w:rFonts w:hAnsi="宋体"/>
                <w:sz w:val="20"/>
                <w:szCs w:val="20"/>
              </w:rPr>
            </w:pPr>
          </w:p>
        </w:tc>
        <w:tc>
          <w:tcPr>
            <w:tcW w:w="1092" w:type="dxa"/>
            <w:vMerge w:val="continue"/>
            <w:tcBorders>
              <w:top w:val="nil"/>
              <w:left w:val="nil"/>
              <w:bottom w:val="single" w:color="auto" w:sz="4" w:space="0"/>
              <w:right w:val="single" w:color="auto" w:sz="4" w:space="0"/>
            </w:tcBorders>
            <w:vAlign w:val="center"/>
          </w:tcPr>
          <w:p>
            <w:pPr>
              <w:widowControl/>
              <w:rPr>
                <w:rFonts w:ascii="新宋体" w:hAnsi="新宋体" w:eastAsia="新宋体"/>
                <w:sz w:val="20"/>
                <w:szCs w:val="20"/>
              </w:rPr>
            </w:pPr>
          </w:p>
        </w:tc>
        <w:tc>
          <w:tcPr>
            <w:tcW w:w="670" w:type="dxa"/>
            <w:vMerge w:val="continue"/>
            <w:tcBorders>
              <w:top w:val="nil"/>
              <w:left w:val="nil"/>
              <w:bottom w:val="single" w:color="auto" w:sz="4" w:space="0"/>
              <w:right w:val="single" w:color="auto" w:sz="4" w:space="0"/>
            </w:tcBorders>
            <w:vAlign w:val="center"/>
          </w:tcPr>
          <w:p>
            <w:pPr>
              <w:widowControl/>
              <w:rPr>
                <w:rFonts w:ascii="新宋体" w:hAnsi="新宋体" w:eastAsia="新宋体"/>
                <w:sz w:val="20"/>
                <w:szCs w:val="20"/>
              </w:rPr>
            </w:pPr>
          </w:p>
        </w:tc>
        <w:tc>
          <w:tcPr>
            <w:tcW w:w="5283" w:type="dxa"/>
            <w:tcBorders>
              <w:top w:val="single" w:color="auto" w:sz="4" w:space="0"/>
              <w:left w:val="nil"/>
              <w:bottom w:val="single" w:color="auto" w:sz="4" w:space="0"/>
              <w:right w:val="single" w:color="auto" w:sz="4" w:space="0"/>
            </w:tcBorders>
            <w:vAlign w:val="center"/>
          </w:tcPr>
          <w:p>
            <w:pPr>
              <w:widowControl/>
              <w:rPr>
                <w:rFonts w:ascii="新宋体" w:hAnsi="新宋体" w:eastAsia="新宋体" w:cs="宋体"/>
                <w:sz w:val="20"/>
                <w:szCs w:val="20"/>
              </w:rPr>
            </w:pPr>
            <w:r>
              <w:rPr>
                <w:rFonts w:hint="eastAsia" w:ascii="新宋体" w:hAnsi="新宋体" w:eastAsia="新宋体" w:cs="宋体"/>
                <w:sz w:val="20"/>
                <w:szCs w:val="20"/>
              </w:rPr>
              <w:t>4.售后服务能力：</w:t>
            </w:r>
            <w:r>
              <w:rPr>
                <w:rFonts w:hint="eastAsia" w:ascii="宋体" w:hAnsi="宋体"/>
                <w:sz w:val="20"/>
                <w:szCs w:val="20"/>
              </w:rPr>
              <w:t>投标人提供的验收及服务方案（包括售前、售中和售后）最全面、服务方式及内容最周密的得6分；验收及服务方案（包括售前、售中和售后）较全面、服务方式及内容较周密的得4分；验收及服务方案（包括售前、售中和售后）较简略、服务方式及内容不周密的不得分。（得分可并列，未提供的不得分）</w:t>
            </w:r>
          </w:p>
        </w:tc>
        <w:tc>
          <w:tcPr>
            <w:tcW w:w="2094" w:type="dxa"/>
            <w:vMerge w:val="continue"/>
            <w:tcBorders>
              <w:top w:val="nil"/>
              <w:left w:val="nil"/>
              <w:bottom w:val="single" w:color="auto" w:sz="4" w:space="0"/>
              <w:right w:val="single" w:color="auto" w:sz="4" w:space="0"/>
            </w:tcBorders>
            <w:vAlign w:val="center"/>
          </w:tcPr>
          <w:p>
            <w:pPr>
              <w:widowControl/>
              <w:rPr>
                <w:rFonts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71"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新宋体" w:hAnsi="新宋体" w:eastAsia="新宋体"/>
                <w:sz w:val="20"/>
                <w:szCs w:val="20"/>
              </w:rPr>
            </w:pPr>
            <w:r>
              <w:rPr>
                <w:rFonts w:hint="eastAsia" w:ascii="新宋体" w:hAnsi="新宋体" w:eastAsia="新宋体"/>
                <w:sz w:val="20"/>
                <w:szCs w:val="20"/>
              </w:rPr>
              <w:t>4</w:t>
            </w:r>
          </w:p>
        </w:tc>
        <w:tc>
          <w:tcPr>
            <w:tcW w:w="1092" w:type="dxa"/>
            <w:tcBorders>
              <w:top w:val="single" w:color="auto" w:sz="4" w:space="0"/>
              <w:left w:val="nil"/>
              <w:bottom w:val="single" w:color="auto" w:sz="4" w:space="0"/>
              <w:right w:val="single" w:color="auto" w:sz="4" w:space="0"/>
            </w:tcBorders>
            <w:vAlign w:val="center"/>
          </w:tcPr>
          <w:p>
            <w:pPr>
              <w:adjustRightInd w:val="0"/>
              <w:snapToGrid w:val="0"/>
              <w:jc w:val="center"/>
              <w:rPr>
                <w:rFonts w:ascii="新宋体" w:hAnsi="新宋体" w:eastAsia="新宋体" w:cs="宋体"/>
                <w:sz w:val="20"/>
                <w:szCs w:val="20"/>
              </w:rPr>
            </w:pPr>
            <w:r>
              <w:rPr>
                <w:rFonts w:hint="eastAsia" w:ascii="新宋体" w:hAnsi="新宋体" w:eastAsia="新宋体" w:cs="宋体"/>
                <w:sz w:val="20"/>
                <w:szCs w:val="20"/>
              </w:rPr>
              <w:t>样品5%</w:t>
            </w:r>
          </w:p>
        </w:tc>
        <w:tc>
          <w:tcPr>
            <w:tcW w:w="670" w:type="dxa"/>
            <w:tcBorders>
              <w:top w:val="single" w:color="auto" w:sz="4" w:space="0"/>
              <w:left w:val="nil"/>
              <w:bottom w:val="single" w:color="auto" w:sz="4" w:space="0"/>
              <w:right w:val="single" w:color="auto" w:sz="4" w:space="0"/>
            </w:tcBorders>
            <w:vAlign w:val="center"/>
          </w:tcPr>
          <w:p>
            <w:pPr>
              <w:adjustRightInd w:val="0"/>
              <w:snapToGrid w:val="0"/>
              <w:jc w:val="center"/>
              <w:rPr>
                <w:rFonts w:ascii="新宋体" w:hAnsi="新宋体" w:eastAsia="新宋体" w:cs="宋体"/>
                <w:sz w:val="20"/>
                <w:szCs w:val="20"/>
              </w:rPr>
            </w:pPr>
            <w:r>
              <w:rPr>
                <w:rFonts w:hint="eastAsia" w:ascii="新宋体" w:hAnsi="新宋体" w:eastAsia="新宋体" w:cs="宋体"/>
                <w:sz w:val="20"/>
                <w:szCs w:val="20"/>
              </w:rPr>
              <w:t>5</w:t>
            </w:r>
          </w:p>
        </w:tc>
        <w:tc>
          <w:tcPr>
            <w:tcW w:w="5283" w:type="dxa"/>
            <w:tcBorders>
              <w:top w:val="single" w:color="auto" w:sz="4" w:space="0"/>
              <w:left w:val="nil"/>
              <w:bottom w:val="single" w:color="auto" w:sz="4" w:space="0"/>
              <w:right w:val="single" w:color="auto" w:sz="4" w:space="0"/>
            </w:tcBorders>
            <w:vAlign w:val="center"/>
          </w:tcPr>
          <w:p>
            <w:pPr>
              <w:pStyle w:val="3"/>
              <w:spacing w:after="0" w:line="273" w:lineRule="auto"/>
              <w:rPr>
                <w:rFonts w:ascii="新宋体" w:hAnsi="新宋体" w:eastAsia="新宋体" w:cs="宋体"/>
                <w:bCs/>
                <w:sz w:val="20"/>
                <w:szCs w:val="20"/>
              </w:rPr>
            </w:pPr>
            <w:r>
              <w:rPr>
                <w:rFonts w:hint="eastAsia" w:ascii="新宋体" w:hAnsi="新宋体" w:eastAsia="新宋体" w:cs="宋体"/>
                <w:bCs/>
                <w:sz w:val="20"/>
                <w:szCs w:val="20"/>
              </w:rPr>
              <w:t>对投标人提供的样品根据以下标准进行评审：样品</w:t>
            </w:r>
            <w:r>
              <w:rPr>
                <w:rFonts w:hint="eastAsia" w:ascii="新宋体" w:hAnsi="新宋体" w:eastAsia="新宋体" w:cs="宋体"/>
                <w:sz w:val="20"/>
                <w:szCs w:val="20"/>
              </w:rPr>
              <w:t>缝合走线平整、</w:t>
            </w:r>
            <w:r>
              <w:rPr>
                <w:rFonts w:hint="eastAsia" w:ascii="新宋体" w:hAnsi="新宋体" w:eastAsia="新宋体" w:cs="宋体"/>
                <w:bCs/>
                <w:sz w:val="20"/>
                <w:szCs w:val="20"/>
              </w:rPr>
              <w:t>整体外观制作美观、</w:t>
            </w:r>
            <w:r>
              <w:rPr>
                <w:rFonts w:hint="eastAsia" w:ascii="新宋体" w:hAnsi="新宋体" w:eastAsia="新宋体" w:cs="宋体"/>
                <w:sz w:val="20"/>
                <w:szCs w:val="20"/>
              </w:rPr>
              <w:t>工艺制作精良</w:t>
            </w:r>
            <w:r>
              <w:rPr>
                <w:rFonts w:hint="eastAsia" w:ascii="新宋体" w:hAnsi="新宋体" w:eastAsia="新宋体" w:cs="宋体"/>
                <w:bCs/>
                <w:sz w:val="20"/>
                <w:szCs w:val="20"/>
              </w:rPr>
              <w:t>、</w:t>
            </w:r>
            <w:r>
              <w:rPr>
                <w:rFonts w:hint="eastAsia" w:ascii="新宋体" w:hAnsi="新宋体" w:eastAsia="新宋体" w:cs="宋体"/>
                <w:sz w:val="20"/>
                <w:szCs w:val="20"/>
              </w:rPr>
              <w:t>手感柔软舒适、对条对格对称性好、缝迹流畅平服无折皱，</w:t>
            </w:r>
            <w:r>
              <w:rPr>
                <w:rFonts w:hint="eastAsia" w:ascii="新宋体" w:hAnsi="新宋体" w:eastAsia="新宋体" w:cs="宋体"/>
                <w:bCs/>
                <w:sz w:val="20"/>
                <w:szCs w:val="20"/>
              </w:rPr>
              <w:t>完全满足要求得满分5分，有一项不满足要求扣0.5分，未按照文件要求提供样品此项不得分。</w:t>
            </w:r>
          </w:p>
        </w:tc>
        <w:tc>
          <w:tcPr>
            <w:tcW w:w="2094" w:type="dxa"/>
            <w:tcBorders>
              <w:top w:val="single" w:color="auto" w:sz="4" w:space="0"/>
              <w:left w:val="nil"/>
              <w:bottom w:val="single" w:color="auto" w:sz="4" w:space="0"/>
              <w:right w:val="single" w:color="auto" w:sz="4" w:space="0"/>
            </w:tcBorders>
            <w:vAlign w:val="center"/>
          </w:tcPr>
          <w:p>
            <w:pPr>
              <w:adjustRightInd w:val="0"/>
              <w:snapToGrid w:val="0"/>
              <w:spacing w:line="380" w:lineRule="exact"/>
              <w:rPr>
                <w:rFonts w:ascii="新宋体" w:hAnsi="新宋体" w:eastAsia="新宋体"/>
                <w:sz w:val="20"/>
                <w:szCs w:val="20"/>
              </w:rPr>
            </w:pPr>
            <w:r>
              <w:rPr>
                <w:rFonts w:hint="eastAsia" w:ascii="新宋体" w:hAnsi="新宋体" w:eastAsia="新宋体"/>
                <w:sz w:val="20"/>
                <w:szCs w:val="20"/>
              </w:rPr>
              <w:t>根据实物样品评定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ind w:firstLine="28"/>
              <w:jc w:val="center"/>
              <w:rPr>
                <w:rFonts w:hint="eastAsia" w:hAnsi="宋体" w:eastAsia="宋体"/>
                <w:sz w:val="20"/>
                <w:szCs w:val="20"/>
                <w:lang w:eastAsia="zh-CN"/>
              </w:rPr>
            </w:pPr>
            <w:r>
              <w:rPr>
                <w:rFonts w:hint="eastAsia"/>
                <w:sz w:val="20"/>
                <w:szCs w:val="20"/>
                <w:lang w:val="en-US" w:eastAsia="zh-CN"/>
              </w:rPr>
              <w:t>5</w:t>
            </w:r>
          </w:p>
        </w:tc>
        <w:tc>
          <w:tcPr>
            <w:tcW w:w="1092" w:type="dxa"/>
            <w:tcBorders>
              <w:top w:val="single" w:color="auto" w:sz="4" w:space="0"/>
              <w:left w:val="nil"/>
              <w:bottom w:val="single" w:color="auto" w:sz="4" w:space="0"/>
              <w:right w:val="single" w:color="auto" w:sz="4" w:space="0"/>
            </w:tcBorders>
            <w:vAlign w:val="center"/>
          </w:tcPr>
          <w:p>
            <w:pPr>
              <w:ind w:firstLine="28"/>
              <w:jc w:val="center"/>
              <w:rPr>
                <w:rFonts w:hAnsi="宋体"/>
                <w:sz w:val="20"/>
                <w:szCs w:val="20"/>
              </w:rPr>
            </w:pPr>
            <w:r>
              <w:rPr>
                <w:rFonts w:hAnsi="宋体"/>
                <w:sz w:val="20"/>
                <w:szCs w:val="20"/>
              </w:rPr>
              <w:t>节能、环保</w:t>
            </w:r>
            <w:r>
              <w:rPr>
                <w:rFonts w:hint="eastAsia" w:hAnsi="宋体"/>
                <w:sz w:val="20"/>
                <w:szCs w:val="20"/>
                <w:lang w:val="en-US" w:eastAsia="zh-CN"/>
              </w:rPr>
              <w:t>2</w:t>
            </w:r>
            <w:r>
              <w:rPr>
                <w:rFonts w:hAnsi="宋体"/>
                <w:sz w:val="20"/>
                <w:szCs w:val="20"/>
              </w:rPr>
              <w:t>%</w:t>
            </w:r>
          </w:p>
        </w:tc>
        <w:tc>
          <w:tcPr>
            <w:tcW w:w="670" w:type="dxa"/>
            <w:tcBorders>
              <w:top w:val="single" w:color="auto" w:sz="4" w:space="0"/>
              <w:left w:val="nil"/>
              <w:bottom w:val="single" w:color="auto" w:sz="4" w:space="0"/>
              <w:right w:val="single" w:color="auto" w:sz="4" w:space="0"/>
            </w:tcBorders>
            <w:vAlign w:val="center"/>
          </w:tcPr>
          <w:p>
            <w:pPr>
              <w:ind w:firstLine="28"/>
              <w:jc w:val="center"/>
              <w:rPr>
                <w:rFonts w:hint="eastAsia" w:hAnsi="宋体" w:eastAsia="宋体"/>
                <w:sz w:val="20"/>
                <w:szCs w:val="20"/>
                <w:lang w:eastAsia="zh-CN"/>
              </w:rPr>
            </w:pPr>
            <w:r>
              <w:rPr>
                <w:rFonts w:hint="eastAsia"/>
                <w:sz w:val="20"/>
                <w:szCs w:val="20"/>
                <w:lang w:val="en-US" w:eastAsia="zh-CN"/>
              </w:rPr>
              <w:t>2</w:t>
            </w:r>
          </w:p>
        </w:tc>
        <w:tc>
          <w:tcPr>
            <w:tcW w:w="5283" w:type="dxa"/>
            <w:tcBorders>
              <w:top w:val="single" w:color="auto" w:sz="4" w:space="0"/>
              <w:left w:val="nil"/>
              <w:bottom w:val="single" w:color="auto" w:sz="4" w:space="0"/>
              <w:right w:val="single" w:color="auto" w:sz="4" w:space="0"/>
            </w:tcBorders>
            <w:vAlign w:val="center"/>
          </w:tcPr>
          <w:p>
            <w:pPr>
              <w:pStyle w:val="2"/>
              <w:ind w:firstLine="400"/>
              <w:rPr>
                <w:rFonts w:hAnsi="宋体"/>
                <w:sz w:val="20"/>
                <w:szCs w:val="20"/>
              </w:rPr>
            </w:pPr>
            <w:r>
              <w:rPr>
                <w:rFonts w:hint="eastAsia" w:hAnsi="宋体"/>
                <w:sz w:val="20"/>
                <w:szCs w:val="20"/>
              </w:rPr>
              <w:t>投标产品中属于国家优先采购范围的，则每有一项为节能产品或者环境标志产品或者无线局域网产品政府采购清单中的产品的得</w:t>
            </w:r>
            <w:r>
              <w:rPr>
                <w:rFonts w:hint="eastAsia" w:cs="Calibri"/>
                <w:sz w:val="20"/>
                <w:szCs w:val="20"/>
              </w:rPr>
              <w:t>0.5</w:t>
            </w:r>
            <w:r>
              <w:rPr>
                <w:rFonts w:hint="eastAsia" w:ascii="宋体" w:hAnsi="宋体"/>
                <w:sz w:val="20"/>
                <w:szCs w:val="20"/>
              </w:rPr>
              <w:t>分，非政府采购节能、环境标志产品的、无线局域网产品的不得分。本项最多得</w:t>
            </w:r>
            <w:r>
              <w:rPr>
                <w:rFonts w:hint="eastAsia" w:cs="Calibri"/>
                <w:sz w:val="20"/>
                <w:szCs w:val="20"/>
              </w:rPr>
              <w:t>1</w:t>
            </w:r>
            <w:r>
              <w:rPr>
                <w:rFonts w:hint="eastAsia" w:ascii="宋体" w:hAnsi="宋体"/>
                <w:sz w:val="20"/>
                <w:szCs w:val="20"/>
              </w:rPr>
              <w:t>分。</w:t>
            </w:r>
          </w:p>
          <w:p>
            <w:pPr>
              <w:pStyle w:val="2"/>
              <w:ind w:firstLine="400"/>
              <w:rPr>
                <w:rFonts w:hAnsi="宋体"/>
                <w:sz w:val="20"/>
                <w:szCs w:val="20"/>
              </w:rPr>
            </w:pPr>
            <w:r>
              <w:rPr>
                <w:rFonts w:hint="eastAsia" w:hAnsi="宋体"/>
                <w:sz w:val="20"/>
                <w:szCs w:val="20"/>
              </w:rPr>
              <w:t>注：按照中国政府采购网最新一期发布的政府采购清单执行，但如果最新一期的政府采购清单是在本项目招标公告发布后至评审环节开始之前正式发布的，则可同时执行最新一期和上期政府采购清单。</w:t>
            </w:r>
          </w:p>
        </w:tc>
        <w:tc>
          <w:tcPr>
            <w:tcW w:w="2094" w:type="dxa"/>
            <w:tcBorders>
              <w:top w:val="single" w:color="auto" w:sz="4" w:space="0"/>
              <w:left w:val="nil"/>
              <w:bottom w:val="single" w:color="auto" w:sz="4" w:space="0"/>
              <w:right w:val="single" w:color="auto" w:sz="4" w:space="0"/>
            </w:tcBorders>
            <w:vAlign w:val="center"/>
          </w:tcPr>
          <w:p>
            <w:pPr>
              <w:ind w:left="-38"/>
              <w:jc w:val="center"/>
              <w:rPr>
                <w:rFonts w:hAnsi="宋体"/>
                <w:sz w:val="20"/>
                <w:szCs w:val="20"/>
              </w:rPr>
            </w:pPr>
            <w:r>
              <w:rPr>
                <w:rFonts w:hAnsi="宋体"/>
                <w:sz w:val="20"/>
                <w:szCs w:val="20"/>
              </w:rPr>
              <w:t>提供产品对应的清单复印件，以《中国政府采购网》公布的最新政府采购清单的通知为准。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ind w:firstLine="28"/>
              <w:jc w:val="center"/>
              <w:rPr>
                <w:rFonts w:hint="eastAsia" w:hAnsi="宋体" w:eastAsia="宋体"/>
                <w:sz w:val="20"/>
                <w:szCs w:val="20"/>
                <w:lang w:eastAsia="zh-CN"/>
              </w:rPr>
            </w:pPr>
            <w:r>
              <w:rPr>
                <w:rFonts w:hint="eastAsia"/>
                <w:sz w:val="20"/>
                <w:szCs w:val="20"/>
                <w:lang w:val="en-US" w:eastAsia="zh-CN"/>
              </w:rPr>
              <w:t>6</w:t>
            </w:r>
          </w:p>
        </w:tc>
        <w:tc>
          <w:tcPr>
            <w:tcW w:w="1092" w:type="dxa"/>
            <w:tcBorders>
              <w:top w:val="single" w:color="auto" w:sz="4" w:space="0"/>
              <w:left w:val="nil"/>
              <w:bottom w:val="single" w:color="auto" w:sz="4" w:space="0"/>
              <w:right w:val="single" w:color="auto" w:sz="4" w:space="0"/>
            </w:tcBorders>
            <w:vAlign w:val="center"/>
          </w:tcPr>
          <w:p>
            <w:pPr>
              <w:ind w:firstLine="28"/>
              <w:jc w:val="center"/>
              <w:rPr>
                <w:rFonts w:hAnsi="宋体"/>
                <w:sz w:val="20"/>
                <w:szCs w:val="20"/>
              </w:rPr>
            </w:pPr>
            <w:r>
              <w:rPr>
                <w:rFonts w:hAnsi="宋体"/>
                <w:sz w:val="20"/>
                <w:szCs w:val="20"/>
              </w:rPr>
              <w:t>投标文件的规范性</w:t>
            </w:r>
            <w:r>
              <w:rPr>
                <w:rFonts w:hint="eastAsia" w:hAnsi="宋体"/>
                <w:sz w:val="20"/>
                <w:szCs w:val="20"/>
                <w:lang w:val="en-US" w:eastAsia="zh-CN"/>
              </w:rPr>
              <w:t>2</w:t>
            </w:r>
            <w:r>
              <w:rPr>
                <w:rFonts w:hAnsi="宋体"/>
                <w:sz w:val="20"/>
                <w:szCs w:val="20"/>
              </w:rPr>
              <w:t>%</w:t>
            </w:r>
          </w:p>
        </w:tc>
        <w:tc>
          <w:tcPr>
            <w:tcW w:w="670" w:type="dxa"/>
            <w:tcBorders>
              <w:top w:val="single" w:color="auto" w:sz="4" w:space="0"/>
              <w:left w:val="nil"/>
              <w:bottom w:val="single" w:color="auto" w:sz="4" w:space="0"/>
              <w:right w:val="single" w:color="auto" w:sz="4" w:space="0"/>
            </w:tcBorders>
            <w:vAlign w:val="center"/>
          </w:tcPr>
          <w:p>
            <w:pPr>
              <w:ind w:firstLine="28"/>
              <w:jc w:val="center"/>
              <w:rPr>
                <w:rFonts w:hint="eastAsia" w:hAnsi="宋体" w:eastAsia="宋体"/>
                <w:sz w:val="20"/>
                <w:szCs w:val="20"/>
                <w:lang w:eastAsia="zh-CN"/>
              </w:rPr>
            </w:pPr>
            <w:r>
              <w:rPr>
                <w:rFonts w:hint="eastAsia"/>
                <w:sz w:val="20"/>
                <w:szCs w:val="20"/>
                <w:lang w:val="en-US" w:eastAsia="zh-CN"/>
              </w:rPr>
              <w:t>2</w:t>
            </w:r>
          </w:p>
        </w:tc>
        <w:tc>
          <w:tcPr>
            <w:tcW w:w="5283" w:type="dxa"/>
            <w:tcBorders>
              <w:top w:val="single" w:color="auto" w:sz="4" w:space="0"/>
              <w:left w:val="nil"/>
              <w:bottom w:val="single" w:color="auto" w:sz="4" w:space="0"/>
              <w:right w:val="single" w:color="auto" w:sz="4" w:space="0"/>
            </w:tcBorders>
            <w:vAlign w:val="center"/>
          </w:tcPr>
          <w:p>
            <w:pPr>
              <w:ind w:firstLine="28"/>
              <w:rPr>
                <w:rFonts w:hAnsi="宋体"/>
                <w:sz w:val="20"/>
                <w:szCs w:val="20"/>
              </w:rPr>
            </w:pPr>
            <w:r>
              <w:rPr>
                <w:rFonts w:hAnsi="宋体"/>
                <w:sz w:val="20"/>
                <w:szCs w:val="20"/>
              </w:rPr>
              <w:t>投标文件制作规范，没有细微偏差情形的得1分；有一项细微偏差扣0.5分，直至该项分值扣完为止。</w:t>
            </w:r>
          </w:p>
        </w:tc>
        <w:tc>
          <w:tcPr>
            <w:tcW w:w="2094" w:type="dxa"/>
            <w:tcBorders>
              <w:top w:val="single" w:color="auto" w:sz="4" w:space="0"/>
              <w:left w:val="nil"/>
              <w:bottom w:val="single" w:color="auto" w:sz="4" w:space="0"/>
              <w:right w:val="single" w:color="auto" w:sz="4" w:space="0"/>
            </w:tcBorders>
            <w:vAlign w:val="center"/>
          </w:tcPr>
          <w:p>
            <w:pPr>
              <w:ind w:left="-38"/>
              <w:jc w:val="center"/>
              <w:rPr>
                <w:rFonts w:hAnsi="宋体"/>
                <w:sz w:val="20"/>
                <w:szCs w:val="20"/>
              </w:rPr>
            </w:pPr>
            <w:r>
              <w:rPr>
                <w:sz w:val="20"/>
                <w:szCs w:val="20"/>
              </w:rPr>
              <w:t>/</w:t>
            </w:r>
          </w:p>
        </w:tc>
      </w:tr>
    </w:tbl>
    <w:p>
      <w:pPr>
        <w:rPr>
          <w:rFonts w:hint="eastAsia" w:ascii="新宋体" w:hAnsi="新宋体" w:eastAsia="新宋体"/>
        </w:rPr>
      </w:pPr>
      <w:r>
        <w:rPr>
          <w:rFonts w:hint="eastAsia" w:ascii="新宋体" w:hAnsi="新宋体" w:eastAsia="新宋体"/>
        </w:rPr>
        <w:t xml:space="preserve"> </w:t>
      </w:r>
    </w:p>
    <w:p>
      <w:pPr>
        <w:rPr>
          <w:rFonts w:hint="eastAsia" w:ascii="Calibri" w:hAnsi="宋体"/>
          <w:b/>
          <w:sz w:val="28"/>
          <w:szCs w:val="28"/>
        </w:rPr>
      </w:pPr>
      <w:r>
        <w:rPr>
          <w:rFonts w:hint="eastAsia" w:ascii="Calibri" w:hAnsi="宋体"/>
          <w:b/>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50167D"/>
    <w:multiLevelType w:val="multilevel"/>
    <w:tmpl w:val="1A50167D"/>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43A"/>
    <w:rsid w:val="007E443A"/>
    <w:rsid w:val="0085096F"/>
    <w:rsid w:val="393B2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color w:val="000000"/>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unhideWhenUsed/>
    <w:uiPriority w:val="99"/>
    <w:pPr>
      <w:spacing w:before="100" w:beforeAutospacing="1" w:after="160" w:line="256" w:lineRule="auto"/>
    </w:pPr>
    <w:rPr>
      <w:rFonts w:ascii="Calibri" w:hAnsi="Calibri"/>
    </w:rPr>
  </w:style>
  <w:style w:type="paragraph" w:styleId="3">
    <w:name w:val="Body Text"/>
    <w:basedOn w:val="1"/>
    <w:link w:val="7"/>
    <w:unhideWhenUsed/>
    <w:uiPriority w:val="99"/>
    <w:pPr>
      <w:spacing w:before="100" w:beforeAutospacing="1" w:after="120"/>
    </w:pPr>
  </w:style>
  <w:style w:type="paragraph" w:customStyle="1" w:styleId="6">
    <w:name w:val="List Paragraph"/>
    <w:basedOn w:val="1"/>
    <w:uiPriority w:val="0"/>
    <w:pPr>
      <w:ind w:firstLine="420" w:firstLineChars="200"/>
    </w:pPr>
  </w:style>
  <w:style w:type="character" w:customStyle="1" w:styleId="7">
    <w:name w:val="正文文本 Char"/>
    <w:basedOn w:val="5"/>
    <w:link w:val="3"/>
    <w:uiPriority w:val="99"/>
    <w:rPr>
      <w:rFonts w:ascii="Times New Roman" w:hAnsi="Times New Roman" w:eastAsia="宋体" w:cs="Times New Roman"/>
      <w:color w:val="000000"/>
      <w:kern w:val="0"/>
      <w:sz w:val="24"/>
      <w:szCs w:val="24"/>
    </w:rPr>
  </w:style>
  <w:style w:type="character" w:customStyle="1" w:styleId="8">
    <w:name w:val="批注文字 Char"/>
    <w:basedOn w:val="5"/>
    <w:link w:val="2"/>
    <w:uiPriority w:val="99"/>
    <w:rPr>
      <w:rFonts w:ascii="Calibri" w:hAnsi="Calibri" w:eastAsia="宋体" w:cs="Times New Roman"/>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228</Words>
  <Characters>1306</Characters>
  <Lines>10</Lines>
  <Paragraphs>3</Paragraphs>
  <TotalTime>8</TotalTime>
  <ScaleCrop>false</ScaleCrop>
  <LinksUpToDate>false</LinksUpToDate>
  <CharactersWithSpaces>1531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2021-04-15T02:08:00Z</dcterms:created>
  <dc:creator>hh</dc:creator>
  <cp:lastModifiedBy>Administrator</cp:lastModifiedBy>
  <dcterms:modified xsi:type="dcterms:W3CDTF">2021-04-15T02:22:51Z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BCC10072794A474DA995DD5741F01CA6</vt:lpwstr>
  </property>
</Properties>
</file>