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综合评分明细表</w:t>
      </w:r>
    </w:p>
    <w:tbl>
      <w:tblPr>
        <w:tblStyle w:val="5"/>
        <w:tblW w:w="97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2"/>
        <w:gridCol w:w="993"/>
        <w:gridCol w:w="708"/>
        <w:gridCol w:w="4678"/>
        <w:gridCol w:w="2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562" w:type="dxa"/>
            <w:tcBorders>
              <w:top w:val="single" w:color="auto" w:sz="4" w:space="0"/>
              <w:left w:val="single" w:color="auto" w:sz="4" w:space="0"/>
              <w:bottom w:val="single" w:color="auto" w:sz="4" w:space="0"/>
              <w:right w:val="single" w:color="auto" w:sz="4" w:space="0"/>
            </w:tcBorders>
            <w:vAlign w:val="center"/>
          </w:tcPr>
          <w:p>
            <w:pPr>
              <w:pStyle w:val="4"/>
              <w:spacing w:before="1"/>
              <w:ind w:left="99"/>
              <w:jc w:val="center"/>
              <w:rPr>
                <w:rFonts w:cs="Times New Roman"/>
                <w:sz w:val="21"/>
                <w:szCs w:val="21"/>
                <w:lang w:eastAsia="en-US"/>
              </w:rPr>
            </w:pPr>
            <w:r>
              <w:rPr>
                <w:rFonts w:hint="eastAsia" w:cs="Times New Roman"/>
                <w:sz w:val="21"/>
                <w:szCs w:val="21"/>
                <w:lang w:eastAsia="en-US"/>
              </w:rPr>
              <w:t>序号</w:t>
            </w:r>
          </w:p>
        </w:tc>
        <w:tc>
          <w:tcPr>
            <w:tcW w:w="993" w:type="dxa"/>
            <w:tcBorders>
              <w:top w:val="single" w:color="auto" w:sz="4" w:space="0"/>
              <w:left w:val="nil"/>
              <w:bottom w:val="single" w:color="auto" w:sz="4" w:space="0"/>
              <w:right w:val="single" w:color="auto" w:sz="4" w:space="0"/>
            </w:tcBorders>
            <w:vAlign w:val="center"/>
          </w:tcPr>
          <w:p>
            <w:pPr>
              <w:pStyle w:val="4"/>
              <w:spacing w:before="1"/>
              <w:ind w:left="99"/>
              <w:jc w:val="center"/>
              <w:rPr>
                <w:rFonts w:cs="Times New Roman"/>
                <w:sz w:val="21"/>
                <w:szCs w:val="21"/>
                <w:lang w:eastAsia="en-US"/>
              </w:rPr>
            </w:pPr>
            <w:r>
              <w:rPr>
                <w:rFonts w:hint="eastAsia" w:cs="Times New Roman"/>
                <w:sz w:val="21"/>
                <w:szCs w:val="21"/>
                <w:lang w:eastAsia="en-US"/>
              </w:rPr>
              <w:t>评分因素及权重</w:t>
            </w:r>
          </w:p>
        </w:tc>
        <w:tc>
          <w:tcPr>
            <w:tcW w:w="708" w:type="dxa"/>
            <w:tcBorders>
              <w:top w:val="single" w:color="auto" w:sz="4" w:space="0"/>
              <w:left w:val="nil"/>
              <w:bottom w:val="single" w:color="auto" w:sz="4" w:space="0"/>
              <w:right w:val="single" w:color="auto" w:sz="4" w:space="0"/>
            </w:tcBorders>
            <w:vAlign w:val="center"/>
          </w:tcPr>
          <w:p>
            <w:pPr>
              <w:pStyle w:val="4"/>
              <w:spacing w:before="1"/>
              <w:ind w:left="99"/>
              <w:jc w:val="center"/>
              <w:rPr>
                <w:rFonts w:cs="Times New Roman"/>
                <w:sz w:val="21"/>
                <w:szCs w:val="21"/>
                <w:lang w:eastAsia="en-US"/>
              </w:rPr>
            </w:pPr>
            <w:r>
              <w:rPr>
                <w:rFonts w:hint="eastAsia" w:cs="Times New Roman"/>
                <w:sz w:val="21"/>
                <w:szCs w:val="21"/>
                <w:lang w:eastAsia="en-US"/>
              </w:rPr>
              <w:t>分值</w:t>
            </w:r>
          </w:p>
        </w:tc>
        <w:tc>
          <w:tcPr>
            <w:tcW w:w="4678" w:type="dxa"/>
            <w:tcBorders>
              <w:top w:val="single" w:color="auto" w:sz="4" w:space="0"/>
              <w:left w:val="nil"/>
              <w:bottom w:val="single" w:color="auto" w:sz="4" w:space="0"/>
              <w:right w:val="single" w:color="auto" w:sz="4" w:space="0"/>
            </w:tcBorders>
            <w:vAlign w:val="center"/>
          </w:tcPr>
          <w:p>
            <w:pPr>
              <w:pStyle w:val="4"/>
              <w:spacing w:before="1"/>
              <w:ind w:left="99"/>
              <w:jc w:val="center"/>
              <w:rPr>
                <w:rFonts w:cs="Times New Roman"/>
                <w:sz w:val="21"/>
                <w:szCs w:val="21"/>
                <w:lang w:eastAsia="en-US"/>
              </w:rPr>
            </w:pPr>
            <w:r>
              <w:rPr>
                <w:rFonts w:hint="eastAsia" w:cs="Times New Roman"/>
                <w:sz w:val="21"/>
                <w:szCs w:val="21"/>
                <w:lang w:eastAsia="en-US"/>
              </w:rPr>
              <w:t>评分标准</w:t>
            </w:r>
          </w:p>
        </w:tc>
        <w:tc>
          <w:tcPr>
            <w:tcW w:w="2764" w:type="dxa"/>
            <w:tcBorders>
              <w:top w:val="single" w:color="auto" w:sz="4" w:space="0"/>
              <w:left w:val="nil"/>
              <w:bottom w:val="single" w:color="auto" w:sz="4" w:space="0"/>
              <w:right w:val="single" w:color="auto" w:sz="4" w:space="0"/>
            </w:tcBorders>
            <w:vAlign w:val="center"/>
          </w:tcPr>
          <w:p>
            <w:pPr>
              <w:pStyle w:val="4"/>
              <w:spacing w:before="1"/>
              <w:ind w:left="99"/>
              <w:jc w:val="center"/>
              <w:rPr>
                <w:rFonts w:cs="Times New Roman"/>
                <w:sz w:val="21"/>
                <w:szCs w:val="21"/>
                <w:lang w:eastAsia="en-US"/>
              </w:rPr>
            </w:pPr>
            <w:r>
              <w:rPr>
                <w:rFonts w:hint="eastAsia" w:cs="Times New Roman"/>
                <w:sz w:val="21"/>
                <w:szCs w:val="21"/>
                <w:lang w:eastAsia="en-US"/>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0" w:hRule="atLeast"/>
          <w:jc w:val="center"/>
        </w:trPr>
        <w:tc>
          <w:tcPr>
            <w:tcW w:w="562" w:type="dxa"/>
            <w:tcBorders>
              <w:top w:val="single" w:color="auto" w:sz="4" w:space="0"/>
              <w:left w:val="single" w:color="auto" w:sz="4" w:space="0"/>
              <w:bottom w:val="single" w:color="auto" w:sz="4" w:space="0"/>
              <w:right w:val="single" w:color="auto" w:sz="4" w:space="0"/>
            </w:tcBorders>
            <w:vAlign w:val="center"/>
          </w:tcPr>
          <w:p>
            <w:pPr>
              <w:pStyle w:val="4"/>
              <w:spacing w:before="1"/>
              <w:ind w:left="99"/>
              <w:jc w:val="center"/>
              <w:rPr>
                <w:rFonts w:cs="Times New Roman"/>
                <w:sz w:val="21"/>
                <w:szCs w:val="21"/>
                <w:lang w:eastAsia="en-US"/>
              </w:rPr>
            </w:pPr>
            <w:r>
              <w:rPr>
                <w:rFonts w:hint="eastAsia" w:cs="Times New Roman"/>
                <w:sz w:val="21"/>
                <w:szCs w:val="21"/>
                <w:lang w:eastAsia="en-US"/>
              </w:rPr>
              <w:t>1</w:t>
            </w:r>
          </w:p>
        </w:tc>
        <w:tc>
          <w:tcPr>
            <w:tcW w:w="993" w:type="dxa"/>
            <w:tcBorders>
              <w:top w:val="single" w:color="auto" w:sz="4" w:space="0"/>
              <w:left w:val="nil"/>
              <w:bottom w:val="single" w:color="auto" w:sz="4" w:space="0"/>
              <w:right w:val="single" w:color="auto" w:sz="4" w:space="0"/>
            </w:tcBorders>
            <w:vAlign w:val="center"/>
          </w:tcPr>
          <w:p>
            <w:pPr>
              <w:pStyle w:val="4"/>
              <w:spacing w:before="1"/>
              <w:ind w:left="99"/>
              <w:jc w:val="center"/>
              <w:rPr>
                <w:rFonts w:cs="Times New Roman"/>
                <w:sz w:val="21"/>
                <w:szCs w:val="21"/>
                <w:lang w:eastAsia="en-US"/>
              </w:rPr>
            </w:pPr>
            <w:r>
              <w:rPr>
                <w:rFonts w:hint="eastAsia" w:cs="Times New Roman"/>
                <w:sz w:val="21"/>
                <w:szCs w:val="21"/>
                <w:lang w:eastAsia="en-US"/>
              </w:rPr>
              <w:t>报价</w:t>
            </w:r>
          </w:p>
          <w:p>
            <w:pPr>
              <w:pStyle w:val="4"/>
              <w:spacing w:before="1"/>
              <w:ind w:left="99"/>
              <w:jc w:val="center"/>
              <w:rPr>
                <w:rFonts w:cs="Times New Roman"/>
                <w:sz w:val="21"/>
                <w:szCs w:val="21"/>
                <w:lang w:eastAsia="en-US"/>
              </w:rPr>
            </w:pPr>
            <w:r>
              <w:rPr>
                <w:rFonts w:hint="eastAsia" w:cs="Times New Roman"/>
                <w:sz w:val="21"/>
                <w:szCs w:val="21"/>
                <w:lang w:eastAsia="zh-CN"/>
              </w:rPr>
              <w:t>4</w:t>
            </w:r>
            <w:r>
              <w:rPr>
                <w:rFonts w:hint="eastAsia" w:cs="Times New Roman"/>
                <w:sz w:val="21"/>
                <w:szCs w:val="21"/>
                <w:lang w:eastAsia="en-US"/>
              </w:rPr>
              <w:t>0%</w:t>
            </w:r>
          </w:p>
        </w:tc>
        <w:tc>
          <w:tcPr>
            <w:tcW w:w="708" w:type="dxa"/>
            <w:tcBorders>
              <w:top w:val="single" w:color="auto" w:sz="4" w:space="0"/>
              <w:left w:val="nil"/>
              <w:bottom w:val="single" w:color="auto" w:sz="4" w:space="0"/>
              <w:right w:val="single" w:color="auto" w:sz="4" w:space="0"/>
            </w:tcBorders>
            <w:vAlign w:val="center"/>
          </w:tcPr>
          <w:p>
            <w:pPr>
              <w:pStyle w:val="4"/>
              <w:spacing w:before="1"/>
              <w:ind w:left="99"/>
              <w:jc w:val="center"/>
              <w:rPr>
                <w:rFonts w:cs="Times New Roman"/>
                <w:sz w:val="21"/>
                <w:szCs w:val="21"/>
                <w:lang w:eastAsia="en-US"/>
              </w:rPr>
            </w:pPr>
            <w:r>
              <w:rPr>
                <w:rFonts w:hint="eastAsia" w:cs="Times New Roman"/>
                <w:sz w:val="21"/>
                <w:szCs w:val="21"/>
                <w:lang w:eastAsia="zh-CN"/>
              </w:rPr>
              <w:t>4</w:t>
            </w:r>
            <w:r>
              <w:rPr>
                <w:rFonts w:hint="eastAsia" w:cs="Times New Roman"/>
                <w:sz w:val="21"/>
                <w:szCs w:val="21"/>
                <w:lang w:eastAsia="en-US"/>
              </w:rPr>
              <w:t>0分</w:t>
            </w:r>
          </w:p>
        </w:tc>
        <w:tc>
          <w:tcPr>
            <w:tcW w:w="4678" w:type="dxa"/>
            <w:tcBorders>
              <w:top w:val="single" w:color="auto" w:sz="4" w:space="0"/>
              <w:left w:val="nil"/>
              <w:bottom w:val="single" w:color="auto" w:sz="4" w:space="0"/>
              <w:right w:val="single" w:color="auto" w:sz="4" w:space="0"/>
            </w:tcBorders>
            <w:vAlign w:val="center"/>
          </w:tcPr>
          <w:p>
            <w:pPr>
              <w:pStyle w:val="4"/>
              <w:spacing w:before="1"/>
              <w:ind w:left="99"/>
              <w:jc w:val="both"/>
              <w:rPr>
                <w:rFonts w:cs="Times New Roman"/>
                <w:sz w:val="21"/>
                <w:szCs w:val="21"/>
                <w:lang w:eastAsia="zh-CN"/>
              </w:rPr>
            </w:pPr>
            <w:r>
              <w:rPr>
                <w:rFonts w:hint="eastAsia" w:cs="Times New Roman"/>
                <w:sz w:val="21"/>
                <w:szCs w:val="21"/>
                <w:lang w:eastAsia="zh-CN"/>
              </w:rPr>
              <w:t>以本次有效的最低报价为基准价，报价得分=(基准价／报价)×40%×100（最低有效报价：通过资格性和符合性审查的最低报价）</w:t>
            </w:r>
          </w:p>
        </w:tc>
        <w:tc>
          <w:tcPr>
            <w:tcW w:w="2764" w:type="dxa"/>
            <w:tcBorders>
              <w:top w:val="single" w:color="auto" w:sz="4" w:space="0"/>
              <w:left w:val="nil"/>
              <w:bottom w:val="single" w:color="auto" w:sz="4" w:space="0"/>
              <w:right w:val="single" w:color="auto" w:sz="4" w:space="0"/>
            </w:tcBorders>
          </w:tcPr>
          <w:p>
            <w:pPr>
              <w:pStyle w:val="4"/>
              <w:spacing w:before="1"/>
              <w:ind w:left="99"/>
              <w:jc w:val="both"/>
              <w:rPr>
                <w:rFonts w:cs="Times New Roman"/>
                <w:sz w:val="21"/>
                <w:szCs w:val="21"/>
                <w:lang w:eastAsia="zh-CN"/>
              </w:rPr>
            </w:pPr>
            <w:r>
              <w:rPr>
                <w:rFonts w:hint="eastAsia" w:cs="Times New Roman"/>
                <w:sz w:val="21"/>
                <w:szCs w:val="21"/>
                <w:lang w:eastAsia="zh-CN"/>
              </w:rPr>
              <w:t>对小型和微型企业（监狱企业、残疾人福利性企业视同小微企业）参加采购活动的产品报价给予10%的扣除，用扣除后的价格参与评审。</w:t>
            </w:r>
          </w:p>
          <w:p>
            <w:pPr>
              <w:pStyle w:val="4"/>
              <w:spacing w:before="1"/>
              <w:ind w:left="99"/>
              <w:jc w:val="both"/>
              <w:rPr>
                <w:rFonts w:cs="Times New Roman"/>
                <w:sz w:val="21"/>
                <w:szCs w:val="21"/>
                <w:lang w:eastAsia="en-US"/>
              </w:rPr>
            </w:pPr>
            <w:r>
              <w:rPr>
                <w:rFonts w:hint="eastAsia" w:cs="Times New Roman"/>
                <w:sz w:val="21"/>
                <w:szCs w:val="21"/>
                <w:lang w:eastAsia="en-US"/>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4" w:hRule="atLeast"/>
          <w:jc w:val="center"/>
        </w:trPr>
        <w:tc>
          <w:tcPr>
            <w:tcW w:w="562" w:type="dxa"/>
            <w:tcBorders>
              <w:top w:val="single" w:color="auto" w:sz="4" w:space="0"/>
              <w:left w:val="single" w:color="auto" w:sz="4" w:space="0"/>
              <w:bottom w:val="single" w:color="auto" w:sz="4" w:space="0"/>
              <w:right w:val="single" w:color="auto" w:sz="4" w:space="0"/>
            </w:tcBorders>
            <w:vAlign w:val="center"/>
          </w:tcPr>
          <w:p>
            <w:pPr>
              <w:pStyle w:val="4"/>
              <w:spacing w:before="1"/>
              <w:ind w:left="99"/>
              <w:jc w:val="center"/>
              <w:rPr>
                <w:rFonts w:cs="Times New Roman"/>
                <w:sz w:val="21"/>
                <w:szCs w:val="21"/>
                <w:lang w:eastAsia="en-US"/>
              </w:rPr>
            </w:pPr>
            <w:r>
              <w:rPr>
                <w:rFonts w:hint="eastAsia" w:cs="Times New Roman"/>
                <w:sz w:val="21"/>
                <w:szCs w:val="21"/>
                <w:lang w:eastAsia="en-US"/>
              </w:rPr>
              <w:t>2</w:t>
            </w:r>
          </w:p>
        </w:tc>
        <w:tc>
          <w:tcPr>
            <w:tcW w:w="993" w:type="dxa"/>
            <w:tcBorders>
              <w:top w:val="single" w:color="auto" w:sz="4" w:space="0"/>
              <w:left w:val="nil"/>
              <w:bottom w:val="single" w:color="auto" w:sz="4" w:space="0"/>
              <w:right w:val="single" w:color="auto" w:sz="4" w:space="0"/>
            </w:tcBorders>
            <w:vAlign w:val="center"/>
          </w:tcPr>
          <w:p>
            <w:pPr>
              <w:pStyle w:val="4"/>
              <w:spacing w:before="1"/>
              <w:ind w:left="99"/>
              <w:jc w:val="center"/>
              <w:rPr>
                <w:rFonts w:cs="Times New Roman"/>
                <w:sz w:val="21"/>
                <w:szCs w:val="21"/>
                <w:lang w:eastAsia="en-US"/>
              </w:rPr>
            </w:pPr>
            <w:r>
              <w:rPr>
                <w:rFonts w:hint="eastAsia" w:cs="Times New Roman"/>
                <w:sz w:val="21"/>
                <w:szCs w:val="21"/>
                <w:lang w:eastAsia="en-US"/>
              </w:rPr>
              <w:t>技术及</w:t>
            </w:r>
          </w:p>
          <w:p>
            <w:pPr>
              <w:pStyle w:val="4"/>
              <w:spacing w:before="1"/>
              <w:ind w:left="99"/>
              <w:jc w:val="center"/>
              <w:rPr>
                <w:rFonts w:hint="eastAsia" w:cs="Times New Roman"/>
                <w:sz w:val="21"/>
                <w:szCs w:val="21"/>
                <w:lang w:eastAsia="en-US"/>
              </w:rPr>
            </w:pPr>
            <w:r>
              <w:rPr>
                <w:rFonts w:hint="eastAsia" w:cs="Times New Roman"/>
                <w:sz w:val="21"/>
                <w:szCs w:val="21"/>
                <w:lang w:eastAsia="en-US"/>
              </w:rPr>
              <w:t>其他要</w:t>
            </w:r>
          </w:p>
          <w:p>
            <w:pPr>
              <w:pStyle w:val="4"/>
              <w:spacing w:before="1"/>
              <w:ind w:left="99"/>
              <w:jc w:val="center"/>
              <w:rPr>
                <w:rFonts w:cs="Times New Roman"/>
                <w:sz w:val="21"/>
                <w:szCs w:val="21"/>
                <w:lang w:eastAsia="en-US"/>
              </w:rPr>
            </w:pPr>
            <w:r>
              <w:rPr>
                <w:rFonts w:hint="eastAsia" w:cs="Times New Roman"/>
                <w:sz w:val="21"/>
                <w:szCs w:val="21"/>
                <w:lang w:eastAsia="en-US"/>
              </w:rPr>
              <w:t>求20%</w:t>
            </w:r>
          </w:p>
        </w:tc>
        <w:tc>
          <w:tcPr>
            <w:tcW w:w="708" w:type="dxa"/>
            <w:tcBorders>
              <w:top w:val="single" w:color="auto" w:sz="4" w:space="0"/>
              <w:left w:val="nil"/>
              <w:bottom w:val="single" w:color="auto" w:sz="4" w:space="0"/>
              <w:right w:val="single" w:color="auto" w:sz="4" w:space="0"/>
            </w:tcBorders>
            <w:vAlign w:val="center"/>
          </w:tcPr>
          <w:p>
            <w:pPr>
              <w:pStyle w:val="4"/>
              <w:spacing w:before="1"/>
              <w:ind w:left="99"/>
              <w:jc w:val="center"/>
              <w:rPr>
                <w:rFonts w:cs="Times New Roman"/>
                <w:sz w:val="21"/>
                <w:szCs w:val="21"/>
                <w:lang w:eastAsia="en-US"/>
              </w:rPr>
            </w:pPr>
            <w:r>
              <w:rPr>
                <w:rFonts w:hint="eastAsia" w:cs="Times New Roman"/>
                <w:sz w:val="21"/>
                <w:szCs w:val="21"/>
                <w:lang w:eastAsia="en-US"/>
              </w:rPr>
              <w:t>20分</w:t>
            </w:r>
          </w:p>
        </w:tc>
        <w:tc>
          <w:tcPr>
            <w:tcW w:w="4678" w:type="dxa"/>
            <w:tcBorders>
              <w:top w:val="single" w:color="auto" w:sz="4" w:space="0"/>
              <w:left w:val="nil"/>
              <w:bottom w:val="single" w:color="auto" w:sz="4" w:space="0"/>
              <w:right w:val="single" w:color="auto" w:sz="4" w:space="0"/>
            </w:tcBorders>
            <w:vAlign w:val="center"/>
          </w:tcPr>
          <w:p>
            <w:pPr>
              <w:pStyle w:val="4"/>
              <w:spacing w:before="1"/>
              <w:ind w:left="99"/>
              <w:jc w:val="both"/>
              <w:rPr>
                <w:rFonts w:cs="Times New Roman"/>
                <w:sz w:val="21"/>
                <w:szCs w:val="21"/>
                <w:lang w:eastAsia="zh-CN"/>
              </w:rPr>
            </w:pPr>
            <w:r>
              <w:rPr>
                <w:rFonts w:hint="eastAsia" w:cs="Times New Roman"/>
                <w:sz w:val="21"/>
                <w:szCs w:val="21"/>
                <w:lang w:eastAsia="zh-CN"/>
              </w:rPr>
              <w:t>响应产品的技术参数完全满足采购文件中技术参数的得满分20分。技术参数与采购文件要求有负偏离的每一项扣5分，直至此项分值扣完为止，但不做废标处理。</w:t>
            </w:r>
          </w:p>
        </w:tc>
        <w:tc>
          <w:tcPr>
            <w:tcW w:w="2764" w:type="dxa"/>
            <w:tcBorders>
              <w:top w:val="single" w:color="auto" w:sz="4" w:space="0"/>
              <w:left w:val="nil"/>
              <w:bottom w:val="single" w:color="auto" w:sz="4" w:space="0"/>
              <w:right w:val="single" w:color="auto" w:sz="4" w:space="0"/>
            </w:tcBorders>
          </w:tcPr>
          <w:p>
            <w:pPr>
              <w:pStyle w:val="4"/>
              <w:spacing w:before="1"/>
              <w:ind w:left="99"/>
              <w:jc w:val="both"/>
              <w:rPr>
                <w:rFonts w:cs="Times New Roman"/>
                <w:sz w:val="21"/>
                <w:szCs w:val="21"/>
                <w:lang w:eastAsia="zh-CN"/>
              </w:rPr>
            </w:pPr>
            <w:r>
              <w:rPr>
                <w:rFonts w:hint="eastAsia" w:cs="Times New Roman"/>
                <w:sz w:val="21"/>
                <w:szCs w:val="21"/>
                <w:lang w:eastAsia="zh-CN"/>
              </w:rPr>
              <w:t>参数应提供厂家彩页或说明书或检测报告或重要功能截图等佐证材料，如无佐证材料的，不予认定。（具体参数中有明确的证明材料要求的以具体参数的要求为准）</w:t>
            </w:r>
          </w:p>
          <w:p>
            <w:pPr>
              <w:pStyle w:val="4"/>
              <w:spacing w:before="1"/>
              <w:ind w:left="99"/>
              <w:jc w:val="both"/>
              <w:rPr>
                <w:rFonts w:cs="Times New Roman"/>
                <w:sz w:val="21"/>
                <w:szCs w:val="21"/>
                <w:lang w:eastAsia="en-US"/>
              </w:rPr>
            </w:pPr>
            <w:r>
              <w:rPr>
                <w:rFonts w:hint="eastAsia" w:cs="Times New Roman"/>
                <w:sz w:val="21"/>
                <w:szCs w:val="21"/>
                <w:lang w:eastAsia="en-US"/>
              </w:rPr>
              <w:t>技术类评审因素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562" w:type="dxa"/>
            <w:tcBorders>
              <w:top w:val="single" w:color="auto" w:sz="4" w:space="0"/>
              <w:left w:val="single" w:color="auto" w:sz="4" w:space="0"/>
              <w:bottom w:val="single" w:color="auto" w:sz="4" w:space="0"/>
              <w:right w:val="single" w:color="auto" w:sz="4" w:space="0"/>
            </w:tcBorders>
            <w:vAlign w:val="center"/>
          </w:tcPr>
          <w:p>
            <w:pPr>
              <w:pStyle w:val="4"/>
              <w:spacing w:before="1"/>
              <w:ind w:left="99"/>
              <w:jc w:val="center"/>
              <w:rPr>
                <w:rFonts w:cs="Times New Roman"/>
                <w:sz w:val="21"/>
                <w:szCs w:val="21"/>
                <w:lang w:eastAsia="en-US"/>
              </w:rPr>
            </w:pPr>
            <w:r>
              <w:rPr>
                <w:rFonts w:hint="eastAsia" w:cs="Times New Roman"/>
                <w:sz w:val="21"/>
                <w:szCs w:val="21"/>
                <w:lang w:eastAsia="en-US"/>
              </w:rPr>
              <w:t>3</w:t>
            </w:r>
          </w:p>
        </w:tc>
        <w:tc>
          <w:tcPr>
            <w:tcW w:w="993" w:type="dxa"/>
            <w:tcBorders>
              <w:top w:val="single" w:color="auto" w:sz="4" w:space="0"/>
              <w:left w:val="nil"/>
              <w:bottom w:val="single" w:color="auto" w:sz="4" w:space="0"/>
              <w:right w:val="single" w:color="auto" w:sz="4" w:space="0"/>
            </w:tcBorders>
            <w:vAlign w:val="center"/>
          </w:tcPr>
          <w:p>
            <w:pPr>
              <w:pStyle w:val="4"/>
              <w:spacing w:before="1"/>
              <w:ind w:left="99"/>
              <w:jc w:val="center"/>
              <w:rPr>
                <w:rFonts w:cs="Times New Roman"/>
                <w:sz w:val="21"/>
                <w:szCs w:val="21"/>
                <w:lang w:eastAsia="en-US"/>
              </w:rPr>
            </w:pPr>
            <w:r>
              <w:rPr>
                <w:rFonts w:hint="eastAsia" w:cs="Times New Roman"/>
                <w:sz w:val="21"/>
                <w:szCs w:val="21"/>
                <w:lang w:eastAsia="en-US"/>
              </w:rPr>
              <w:t>样品</w:t>
            </w:r>
            <w:r>
              <w:rPr>
                <w:rFonts w:hint="eastAsia" w:cs="Times New Roman"/>
                <w:sz w:val="21"/>
                <w:szCs w:val="21"/>
                <w:lang w:eastAsia="zh-CN"/>
              </w:rPr>
              <w:t>5</w:t>
            </w:r>
            <w:r>
              <w:rPr>
                <w:rFonts w:hint="eastAsia" w:cs="Times New Roman"/>
                <w:sz w:val="21"/>
                <w:szCs w:val="21"/>
                <w:lang w:eastAsia="en-US"/>
              </w:rPr>
              <w:t>%</w:t>
            </w:r>
          </w:p>
        </w:tc>
        <w:tc>
          <w:tcPr>
            <w:tcW w:w="708" w:type="dxa"/>
            <w:tcBorders>
              <w:top w:val="single" w:color="auto" w:sz="4" w:space="0"/>
              <w:left w:val="nil"/>
              <w:bottom w:val="single" w:color="auto" w:sz="4" w:space="0"/>
              <w:right w:val="single" w:color="auto" w:sz="4" w:space="0"/>
            </w:tcBorders>
            <w:vAlign w:val="center"/>
          </w:tcPr>
          <w:p>
            <w:pPr>
              <w:pStyle w:val="4"/>
              <w:spacing w:before="1"/>
              <w:ind w:left="99"/>
              <w:jc w:val="center"/>
              <w:rPr>
                <w:rFonts w:cs="Times New Roman"/>
                <w:sz w:val="21"/>
                <w:szCs w:val="21"/>
                <w:lang w:eastAsia="en-US"/>
              </w:rPr>
            </w:pPr>
            <w:r>
              <w:rPr>
                <w:rFonts w:hint="eastAsia" w:cs="Times New Roman"/>
                <w:sz w:val="21"/>
                <w:szCs w:val="21"/>
                <w:lang w:eastAsia="zh-CN"/>
              </w:rPr>
              <w:t>5</w:t>
            </w:r>
            <w:r>
              <w:rPr>
                <w:rFonts w:hint="eastAsia" w:cs="Times New Roman"/>
                <w:sz w:val="21"/>
                <w:szCs w:val="21"/>
                <w:lang w:eastAsia="en-US"/>
              </w:rPr>
              <w:t>分</w:t>
            </w:r>
          </w:p>
        </w:tc>
        <w:tc>
          <w:tcPr>
            <w:tcW w:w="4678" w:type="dxa"/>
            <w:tcBorders>
              <w:top w:val="single" w:color="auto" w:sz="4" w:space="0"/>
              <w:left w:val="nil"/>
              <w:bottom w:val="single" w:color="auto" w:sz="4" w:space="0"/>
              <w:right w:val="single" w:color="auto" w:sz="4" w:space="0"/>
            </w:tcBorders>
          </w:tcPr>
          <w:p>
            <w:pPr>
              <w:pStyle w:val="4"/>
              <w:spacing w:before="1"/>
              <w:ind w:left="99"/>
              <w:jc w:val="both"/>
              <w:rPr>
                <w:rFonts w:cs="Times New Roman"/>
                <w:sz w:val="21"/>
                <w:szCs w:val="21"/>
                <w:lang w:eastAsia="zh-CN"/>
              </w:rPr>
            </w:pPr>
            <w:r>
              <w:rPr>
                <w:rFonts w:hint="eastAsia" w:cs="Times New Roman"/>
                <w:sz w:val="21"/>
                <w:szCs w:val="21"/>
                <w:lang w:eastAsia="zh-CN"/>
              </w:rPr>
              <w:t>根据所提供样品材质优良程度、防穿刺防渗漏程度、外观及警示标识清晰度，综合评审，每缺一项或每有一项不完善的扣1分，扣完为止。本项最多得5分。未提供样品不得分。</w:t>
            </w:r>
          </w:p>
        </w:tc>
        <w:tc>
          <w:tcPr>
            <w:tcW w:w="2764" w:type="dxa"/>
            <w:tcBorders>
              <w:top w:val="single" w:color="auto" w:sz="4" w:space="0"/>
              <w:left w:val="nil"/>
              <w:bottom w:val="single" w:color="auto" w:sz="4" w:space="0"/>
              <w:right w:val="single" w:color="auto" w:sz="4" w:space="0"/>
            </w:tcBorders>
          </w:tcPr>
          <w:p>
            <w:pPr>
              <w:pStyle w:val="4"/>
              <w:spacing w:before="1"/>
              <w:ind w:left="99"/>
              <w:jc w:val="both"/>
              <w:rPr>
                <w:rFonts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562" w:type="dxa"/>
            <w:tcBorders>
              <w:top w:val="single" w:color="auto" w:sz="4" w:space="0"/>
              <w:left w:val="single" w:color="auto" w:sz="4" w:space="0"/>
              <w:bottom w:val="single" w:color="auto" w:sz="4" w:space="0"/>
              <w:right w:val="single" w:color="auto" w:sz="4" w:space="0"/>
            </w:tcBorders>
            <w:vAlign w:val="center"/>
          </w:tcPr>
          <w:p>
            <w:pPr>
              <w:pStyle w:val="4"/>
              <w:spacing w:before="1"/>
              <w:ind w:left="99"/>
              <w:jc w:val="center"/>
              <w:rPr>
                <w:rFonts w:cs="Times New Roman"/>
                <w:sz w:val="21"/>
                <w:szCs w:val="21"/>
                <w:lang w:eastAsia="en-US"/>
              </w:rPr>
            </w:pPr>
            <w:r>
              <w:rPr>
                <w:rFonts w:hint="eastAsia" w:cs="Times New Roman"/>
                <w:sz w:val="21"/>
                <w:szCs w:val="21"/>
                <w:lang w:eastAsia="en-US"/>
              </w:rPr>
              <w:t>4</w:t>
            </w:r>
          </w:p>
        </w:tc>
        <w:tc>
          <w:tcPr>
            <w:tcW w:w="993" w:type="dxa"/>
            <w:tcBorders>
              <w:top w:val="single" w:color="auto" w:sz="4" w:space="0"/>
              <w:left w:val="nil"/>
              <w:bottom w:val="single" w:color="auto" w:sz="4" w:space="0"/>
              <w:right w:val="single" w:color="auto" w:sz="4" w:space="0"/>
            </w:tcBorders>
            <w:vAlign w:val="center"/>
          </w:tcPr>
          <w:p>
            <w:pPr>
              <w:pStyle w:val="4"/>
              <w:spacing w:before="1"/>
              <w:ind w:left="99"/>
              <w:jc w:val="center"/>
              <w:rPr>
                <w:rFonts w:cs="Times New Roman"/>
                <w:sz w:val="21"/>
                <w:szCs w:val="21"/>
                <w:lang w:eastAsia="zh-CN"/>
              </w:rPr>
            </w:pPr>
            <w:r>
              <w:rPr>
                <w:rFonts w:hint="eastAsia" w:cs="Times New Roman"/>
                <w:sz w:val="21"/>
                <w:szCs w:val="21"/>
                <w:lang w:eastAsia="zh-CN"/>
              </w:rPr>
              <w:t>项目实施方案与售后服务方案3</w:t>
            </w:r>
            <w:r>
              <w:rPr>
                <w:rFonts w:hint="eastAsia" w:cs="Times New Roman"/>
                <w:sz w:val="21"/>
                <w:szCs w:val="21"/>
                <w:lang w:val="en-US" w:eastAsia="zh-CN"/>
              </w:rPr>
              <w:t>3</w:t>
            </w:r>
            <w:bookmarkStart w:id="0" w:name="_GoBack"/>
            <w:bookmarkEnd w:id="0"/>
            <w:r>
              <w:rPr>
                <w:rFonts w:hint="eastAsia" w:cs="Times New Roman"/>
                <w:sz w:val="21"/>
                <w:szCs w:val="21"/>
                <w:lang w:eastAsia="zh-CN"/>
              </w:rPr>
              <w:t>%</w:t>
            </w:r>
          </w:p>
        </w:tc>
        <w:tc>
          <w:tcPr>
            <w:tcW w:w="708" w:type="dxa"/>
            <w:tcBorders>
              <w:top w:val="single" w:color="auto" w:sz="4" w:space="0"/>
              <w:left w:val="nil"/>
              <w:bottom w:val="single" w:color="auto" w:sz="4" w:space="0"/>
              <w:right w:val="single" w:color="auto" w:sz="4" w:space="0"/>
            </w:tcBorders>
            <w:vAlign w:val="center"/>
          </w:tcPr>
          <w:p>
            <w:pPr>
              <w:pStyle w:val="4"/>
              <w:spacing w:before="1"/>
              <w:ind w:left="99"/>
              <w:jc w:val="center"/>
              <w:rPr>
                <w:rFonts w:cs="Times New Roman"/>
                <w:sz w:val="21"/>
                <w:szCs w:val="21"/>
                <w:lang w:eastAsia="en-US"/>
              </w:rPr>
            </w:pPr>
            <w:r>
              <w:rPr>
                <w:rFonts w:hint="eastAsia" w:cs="Times New Roman"/>
                <w:sz w:val="21"/>
                <w:szCs w:val="21"/>
                <w:lang w:eastAsia="en-US"/>
              </w:rPr>
              <w:t>3</w:t>
            </w:r>
            <w:r>
              <w:rPr>
                <w:rFonts w:hint="eastAsia" w:cs="Times New Roman"/>
                <w:sz w:val="21"/>
                <w:szCs w:val="21"/>
                <w:lang w:eastAsia="zh-CN"/>
              </w:rPr>
              <w:t>3</w:t>
            </w:r>
            <w:r>
              <w:rPr>
                <w:rFonts w:hint="eastAsia" w:cs="Times New Roman"/>
                <w:sz w:val="21"/>
                <w:szCs w:val="21"/>
                <w:lang w:eastAsia="en-US"/>
              </w:rPr>
              <w:t>分</w:t>
            </w:r>
          </w:p>
        </w:tc>
        <w:tc>
          <w:tcPr>
            <w:tcW w:w="4678" w:type="dxa"/>
            <w:tcBorders>
              <w:top w:val="single" w:color="auto" w:sz="4" w:space="0"/>
              <w:left w:val="nil"/>
              <w:bottom w:val="single" w:color="auto" w:sz="4" w:space="0"/>
              <w:right w:val="single" w:color="auto" w:sz="4" w:space="0"/>
            </w:tcBorders>
          </w:tcPr>
          <w:p>
            <w:pPr>
              <w:pStyle w:val="4"/>
              <w:spacing w:before="1"/>
              <w:ind w:left="99"/>
              <w:jc w:val="both"/>
              <w:rPr>
                <w:rFonts w:cs="Times New Roman"/>
                <w:sz w:val="21"/>
                <w:szCs w:val="21"/>
                <w:lang w:eastAsia="zh-CN"/>
              </w:rPr>
            </w:pPr>
            <w:r>
              <w:rPr>
                <w:rFonts w:hint="eastAsia" w:cs="Times New Roman"/>
                <w:sz w:val="21"/>
                <w:szCs w:val="21"/>
                <w:lang w:eastAsia="zh-CN"/>
              </w:rPr>
              <w:t>1.根据供应商提供的项目实施方案（包括但不限于以下内容：①货物准备与配送方案、②技术培训服务及验收方案、③应急送货方案、④退换货方案等）从科学性、全面性、合理性、有针对性等方面进行综合评比，能完全满足采购人的采购需求的得16分；每缺少一项上述内容或每有一项内容无法满足采购实施需求或方案描述有欠缺或方案内容不够全面的扣4分，直至扣完为止。</w:t>
            </w:r>
          </w:p>
          <w:p>
            <w:pPr>
              <w:pStyle w:val="4"/>
              <w:spacing w:before="1"/>
              <w:ind w:left="99"/>
              <w:jc w:val="both"/>
              <w:rPr>
                <w:rFonts w:cs="Times New Roman"/>
                <w:sz w:val="21"/>
                <w:szCs w:val="21"/>
                <w:lang w:eastAsia="zh-CN"/>
              </w:rPr>
            </w:pPr>
            <w:r>
              <w:rPr>
                <w:rFonts w:hint="eastAsia" w:cs="Times New Roman"/>
                <w:sz w:val="21"/>
                <w:szCs w:val="21"/>
                <w:lang w:eastAsia="zh-CN"/>
              </w:rPr>
              <w:t>2.根据供应商提供的售后服务方案（包括但不限于以下内容：①质量保障措施与承诺、②售后服务体系、③售后服务技术人员配置、④售后服务时间响应、⑤本地化服务机构设置等）从科学性、全面性、合理性、有针对性等方面进行综合评比，能完全满足采购人的采购需求的得20分；每缺少一项上述内容或每有一项内容无法满足采购实施需求或方案描述有欠缺或方案内容不够全面的扣4分，直至扣完为止。</w:t>
            </w:r>
          </w:p>
        </w:tc>
        <w:tc>
          <w:tcPr>
            <w:tcW w:w="2764" w:type="dxa"/>
            <w:tcBorders>
              <w:top w:val="single" w:color="auto" w:sz="4" w:space="0"/>
              <w:left w:val="nil"/>
              <w:bottom w:val="single" w:color="auto" w:sz="4" w:space="0"/>
              <w:right w:val="single" w:color="auto" w:sz="4" w:space="0"/>
            </w:tcBorders>
            <w:vAlign w:val="center"/>
          </w:tcPr>
          <w:p>
            <w:pPr>
              <w:pStyle w:val="4"/>
              <w:spacing w:before="1"/>
              <w:ind w:left="99"/>
              <w:jc w:val="both"/>
              <w:rPr>
                <w:rFonts w:cs="Times New Roman"/>
                <w:sz w:val="21"/>
                <w:szCs w:val="21"/>
                <w:lang w:eastAsia="zh-CN"/>
              </w:rPr>
            </w:pPr>
            <w:r>
              <w:rPr>
                <w:rFonts w:hint="eastAsia" w:cs="Times New Roman"/>
                <w:sz w:val="21"/>
                <w:szCs w:val="21"/>
                <w:lang w:eastAsia="zh-CN"/>
              </w:rPr>
              <w:t>以响应文件为准共同评审因素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562" w:type="dxa"/>
            <w:tcBorders>
              <w:top w:val="single" w:color="auto" w:sz="4" w:space="0"/>
              <w:left w:val="single" w:color="auto" w:sz="4" w:space="0"/>
              <w:bottom w:val="single" w:color="auto" w:sz="4" w:space="0"/>
              <w:right w:val="single" w:color="auto" w:sz="4" w:space="0"/>
            </w:tcBorders>
            <w:vAlign w:val="center"/>
          </w:tcPr>
          <w:p>
            <w:pPr>
              <w:pStyle w:val="4"/>
              <w:spacing w:before="1"/>
              <w:ind w:left="99"/>
              <w:jc w:val="center"/>
              <w:rPr>
                <w:rFonts w:cs="Times New Roman"/>
                <w:sz w:val="21"/>
                <w:szCs w:val="21"/>
                <w:lang w:eastAsia="en-US"/>
              </w:rPr>
            </w:pPr>
            <w:r>
              <w:rPr>
                <w:rFonts w:hint="eastAsia" w:cs="Times New Roman"/>
                <w:sz w:val="21"/>
                <w:szCs w:val="21"/>
                <w:lang w:eastAsia="en-US"/>
              </w:rPr>
              <w:t>5</w:t>
            </w:r>
          </w:p>
        </w:tc>
        <w:tc>
          <w:tcPr>
            <w:tcW w:w="993" w:type="dxa"/>
            <w:tcBorders>
              <w:top w:val="single" w:color="auto" w:sz="4" w:space="0"/>
              <w:left w:val="nil"/>
              <w:bottom w:val="single" w:color="auto" w:sz="4" w:space="0"/>
              <w:right w:val="single" w:color="auto" w:sz="4" w:space="0"/>
            </w:tcBorders>
            <w:vAlign w:val="center"/>
          </w:tcPr>
          <w:p>
            <w:pPr>
              <w:pStyle w:val="4"/>
              <w:spacing w:before="1"/>
              <w:ind w:left="99"/>
              <w:jc w:val="center"/>
              <w:rPr>
                <w:rFonts w:cs="Times New Roman"/>
                <w:sz w:val="21"/>
                <w:szCs w:val="21"/>
                <w:lang w:eastAsia="en-US"/>
              </w:rPr>
            </w:pPr>
            <w:r>
              <w:rPr>
                <w:rFonts w:hint="eastAsia" w:cs="Times New Roman"/>
                <w:sz w:val="21"/>
                <w:szCs w:val="21"/>
                <w:lang w:eastAsia="en-US"/>
              </w:rPr>
              <w:t>响应文件的规范性2%</w:t>
            </w:r>
          </w:p>
        </w:tc>
        <w:tc>
          <w:tcPr>
            <w:tcW w:w="708" w:type="dxa"/>
            <w:tcBorders>
              <w:top w:val="single" w:color="auto" w:sz="4" w:space="0"/>
              <w:left w:val="nil"/>
              <w:bottom w:val="single" w:color="auto" w:sz="4" w:space="0"/>
              <w:right w:val="single" w:color="auto" w:sz="4" w:space="0"/>
            </w:tcBorders>
            <w:vAlign w:val="center"/>
          </w:tcPr>
          <w:p>
            <w:pPr>
              <w:pStyle w:val="4"/>
              <w:spacing w:before="1"/>
              <w:ind w:left="99"/>
              <w:jc w:val="center"/>
              <w:rPr>
                <w:rFonts w:cs="Times New Roman"/>
                <w:sz w:val="21"/>
                <w:szCs w:val="21"/>
                <w:lang w:eastAsia="en-US"/>
              </w:rPr>
            </w:pPr>
            <w:r>
              <w:rPr>
                <w:rFonts w:hint="eastAsia" w:cs="Times New Roman"/>
                <w:sz w:val="21"/>
                <w:szCs w:val="21"/>
                <w:lang w:eastAsia="en-US"/>
              </w:rPr>
              <w:t>2分</w:t>
            </w:r>
          </w:p>
        </w:tc>
        <w:tc>
          <w:tcPr>
            <w:tcW w:w="4678" w:type="dxa"/>
            <w:tcBorders>
              <w:top w:val="single" w:color="auto" w:sz="4" w:space="0"/>
              <w:left w:val="nil"/>
              <w:bottom w:val="single" w:color="auto" w:sz="4" w:space="0"/>
              <w:right w:val="single" w:color="auto" w:sz="4" w:space="0"/>
            </w:tcBorders>
            <w:vAlign w:val="center"/>
          </w:tcPr>
          <w:p>
            <w:pPr>
              <w:pStyle w:val="4"/>
              <w:spacing w:before="1"/>
              <w:ind w:left="99"/>
              <w:jc w:val="both"/>
              <w:rPr>
                <w:rFonts w:cs="Times New Roman"/>
                <w:sz w:val="21"/>
                <w:szCs w:val="21"/>
                <w:lang w:eastAsia="zh-CN"/>
              </w:rPr>
            </w:pPr>
            <w:r>
              <w:rPr>
                <w:rFonts w:hint="eastAsia" w:cs="Times New Roman"/>
                <w:sz w:val="21"/>
                <w:szCs w:val="21"/>
                <w:lang w:eastAsia="zh-CN"/>
              </w:rPr>
              <w:t>响应文件制作规范，没有细微偏差情形的得2分；有一项细微偏差扣0.5分，直至该项分值扣完为止。</w:t>
            </w:r>
          </w:p>
        </w:tc>
        <w:tc>
          <w:tcPr>
            <w:tcW w:w="2764" w:type="dxa"/>
            <w:tcBorders>
              <w:top w:val="single" w:color="auto" w:sz="4" w:space="0"/>
              <w:left w:val="nil"/>
              <w:bottom w:val="single" w:color="auto" w:sz="4" w:space="0"/>
              <w:right w:val="single" w:color="auto" w:sz="4" w:space="0"/>
            </w:tcBorders>
            <w:vAlign w:val="center"/>
          </w:tcPr>
          <w:p>
            <w:pPr>
              <w:pStyle w:val="4"/>
              <w:spacing w:before="1"/>
              <w:ind w:left="99"/>
              <w:jc w:val="both"/>
              <w:rPr>
                <w:rFonts w:cs="Times New Roman"/>
                <w:sz w:val="21"/>
                <w:szCs w:val="21"/>
                <w:lang w:eastAsia="zh-CN"/>
              </w:rPr>
            </w:pPr>
            <w:r>
              <w:rPr>
                <w:rFonts w:hint="eastAsia" w:cs="Times New Roman"/>
                <w:sz w:val="21"/>
                <w:szCs w:val="21"/>
                <w:lang w:eastAsia="zh-CN"/>
              </w:rPr>
              <w:t>以响应文件编制情况进行评分共同评审因素</w:t>
            </w:r>
          </w:p>
        </w:tc>
      </w:tr>
    </w:tbl>
    <w:p>
      <w:pPr>
        <w:rPr>
          <w:rFonts w:hint="eastAsia"/>
        </w:rPr>
      </w:pPr>
      <w:r>
        <w:rPr>
          <w:rFonts w:hint="eastAsia"/>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074B8"/>
    <w:rsid w:val="007074B8"/>
    <w:rsid w:val="00F07A98"/>
    <w:rsid w:val="1A9F0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kern w:val="0"/>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Table Paragraph"/>
    <w:basedOn w:val="1"/>
    <w:uiPriority w:val="0"/>
  </w:style>
  <w:style w:type="table" w:customStyle="1" w:styleId="5">
    <w:name w:val="Table Normal"/>
    <w:basedOn w:val="2"/>
    <w:uiPriority w:val="0"/>
    <w:pPr>
      <w:widowControl w:val="0"/>
      <w:autoSpaceDE w:val="0"/>
      <w:autoSpaceDN w:val="0"/>
    </w:pPr>
    <w:rPr>
      <w:rFonts w:ascii="Times New Roman" w:hAnsi="Times New Roman" w:eastAsia="Times New Roman" w:cs="Times New Roman"/>
      <w:kern w:val="0"/>
      <w:sz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137</Words>
  <Characters>782</Characters>
  <Lines>6</Lines>
  <Paragraphs>1</Paragraphs>
  <TotalTime>2</TotalTime>
  <ScaleCrop>false</ScaleCrop>
  <LinksUpToDate>false</LinksUpToDate>
  <CharactersWithSpaces>918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2021-04-15T02:12:00Z</dcterms:created>
  <dc:creator>hh</dc:creator>
  <cp:lastModifiedBy>Administrator</cp:lastModifiedBy>
  <dcterms:modified xsi:type="dcterms:W3CDTF">2021-04-15T02:23:40Z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E843DD922F8948AEAD664A149CC9FA70</vt:lpwstr>
  </property>
</Properties>
</file>