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8080"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67"/>
        <w:gridCol w:w="708"/>
        <w:gridCol w:w="999"/>
        <w:gridCol w:w="3995"/>
        <w:gridCol w:w="1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ascii="新宋体" w:hAnsi="新宋体" w:eastAsia="新宋体" w:cs="新宋体"/>
                <w:color w:val="auto"/>
                <w:sz w:val="20"/>
                <w:highlight w:val="none"/>
              </w:rPr>
            </w:pPr>
            <w:bookmarkStart w:id="0" w:name="_GoBack"/>
            <w:bookmarkEnd w:id="0"/>
            <w:r>
              <w:rPr>
                <w:rFonts w:hint="eastAsia" w:ascii="新宋体" w:hAnsi="新宋体" w:eastAsia="新宋体" w:cs="新宋体"/>
                <w:color w:val="auto"/>
                <w:sz w:val="20"/>
                <w:highlight w:val="none"/>
              </w:rPr>
              <w:t>序号</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ascii="新宋体" w:hAnsi="新宋体" w:eastAsia="新宋体" w:cs="新宋体"/>
                <w:color w:val="auto"/>
                <w:sz w:val="20"/>
                <w:highlight w:val="none"/>
              </w:rPr>
            </w:pPr>
            <w:r>
              <w:rPr>
                <w:rFonts w:hint="eastAsia" w:ascii="新宋体" w:hAnsi="新宋体" w:eastAsia="新宋体" w:cs="新宋体"/>
                <w:color w:val="auto"/>
                <w:sz w:val="20"/>
                <w:highlight w:val="none"/>
              </w:rPr>
              <w:t>评分因素及价格权值</w:t>
            </w:r>
          </w:p>
        </w:tc>
        <w:tc>
          <w:tcPr>
            <w:tcW w:w="999" w:type="dxa"/>
            <w:tcBorders>
              <w:top w:val="single" w:color="auto" w:sz="4" w:space="0"/>
              <w:left w:val="single" w:color="auto" w:sz="4" w:space="0"/>
              <w:bottom w:val="single" w:color="auto" w:sz="4" w:space="0"/>
              <w:right w:val="single" w:color="auto" w:sz="4" w:space="0"/>
            </w:tcBorders>
            <w:noWrap w:val="0"/>
            <w:vAlign w:val="center"/>
          </w:tcPr>
          <w:p>
            <w:pPr>
              <w:pStyle w:val="6"/>
              <w:spacing w:line="240" w:lineRule="atLeast"/>
              <w:ind w:firstLine="400"/>
              <w:rPr>
                <w:rFonts w:ascii="新宋体" w:hAnsi="新宋体" w:eastAsia="新宋体" w:cs="新宋体"/>
                <w:color w:val="auto"/>
                <w:sz w:val="20"/>
                <w:highlight w:val="none"/>
              </w:rPr>
            </w:pPr>
            <w:r>
              <w:rPr>
                <w:rFonts w:hint="eastAsia" w:ascii="新宋体" w:hAnsi="新宋体" w:eastAsia="新宋体" w:cs="新宋体"/>
                <w:color w:val="auto"/>
                <w:sz w:val="20"/>
                <w:highlight w:val="none"/>
              </w:rPr>
              <w:t>分值</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pStyle w:val="6"/>
              <w:spacing w:line="240" w:lineRule="atLeast"/>
              <w:ind w:firstLine="400"/>
              <w:rPr>
                <w:rFonts w:ascii="新宋体" w:hAnsi="新宋体" w:eastAsia="新宋体" w:cs="新宋体"/>
                <w:color w:val="auto"/>
                <w:sz w:val="20"/>
                <w:highlight w:val="none"/>
              </w:rPr>
            </w:pPr>
            <w:r>
              <w:rPr>
                <w:rFonts w:hint="eastAsia" w:ascii="新宋体" w:hAnsi="新宋体" w:eastAsia="新宋体" w:cs="新宋体"/>
                <w:color w:val="auto"/>
                <w:sz w:val="20"/>
                <w:highlight w:val="none"/>
              </w:rPr>
              <w:t>评分标准</w:t>
            </w:r>
          </w:p>
        </w:tc>
        <w:tc>
          <w:tcPr>
            <w:tcW w:w="1102" w:type="dxa"/>
            <w:tcBorders>
              <w:top w:val="single" w:color="auto" w:sz="4" w:space="0"/>
              <w:left w:val="single" w:color="auto" w:sz="4" w:space="0"/>
              <w:bottom w:val="single" w:color="auto" w:sz="4" w:space="0"/>
              <w:right w:val="single" w:color="auto" w:sz="4" w:space="0"/>
            </w:tcBorders>
            <w:noWrap w:val="0"/>
            <w:vAlign w:val="center"/>
          </w:tcPr>
          <w:p>
            <w:pPr>
              <w:pStyle w:val="6"/>
              <w:spacing w:line="240" w:lineRule="atLeast"/>
              <w:ind w:firstLine="400"/>
              <w:rPr>
                <w:rFonts w:ascii="新宋体" w:hAnsi="新宋体" w:eastAsia="新宋体" w:cs="新宋体"/>
                <w:color w:val="auto"/>
                <w:sz w:val="20"/>
                <w:highlight w:val="none"/>
              </w:rPr>
            </w:pPr>
            <w:r>
              <w:rPr>
                <w:rFonts w:hint="eastAsia" w:ascii="新宋体" w:hAnsi="新宋体" w:eastAsia="新宋体" w:cs="新宋体"/>
                <w:color w:val="auto"/>
                <w:sz w:val="20"/>
                <w:highlight w:val="none"/>
              </w:rPr>
              <w:t>说    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ind w:firstLine="210" w:firstLineChars="100"/>
              <w:jc w:val="center"/>
              <w:rPr>
                <w:color w:val="auto"/>
                <w:szCs w:val="21"/>
                <w:highlight w:val="none"/>
              </w:rPr>
            </w:pPr>
            <w:r>
              <w:rPr>
                <w:rFonts w:hint="eastAsia"/>
                <w:color w:val="auto"/>
                <w:szCs w:val="21"/>
                <w:highlight w:val="none"/>
              </w:rPr>
              <w:t>1</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rPr>
                <w:color w:val="auto"/>
                <w:szCs w:val="21"/>
                <w:highlight w:val="none"/>
              </w:rPr>
            </w:pPr>
            <w:r>
              <w:rPr>
                <w:rFonts w:hint="eastAsia"/>
                <w:color w:val="auto"/>
                <w:szCs w:val="21"/>
                <w:highlight w:val="none"/>
              </w:rPr>
              <w:t>报价</w:t>
            </w:r>
            <w:r>
              <w:rPr>
                <w:rFonts w:hint="eastAsia"/>
                <w:color w:val="auto"/>
                <w:szCs w:val="21"/>
                <w:highlight w:val="none"/>
                <w:lang w:val="en-US" w:eastAsia="zh-CN"/>
              </w:rPr>
              <w:t>20</w:t>
            </w:r>
            <w:r>
              <w:rPr>
                <w:rFonts w:hint="eastAsia"/>
                <w:color w:val="auto"/>
                <w:szCs w:val="21"/>
                <w:highlight w:val="none"/>
              </w:rPr>
              <w:t>%</w:t>
            </w:r>
          </w:p>
        </w:tc>
        <w:tc>
          <w:tcPr>
            <w:tcW w:w="999" w:type="dxa"/>
            <w:tcBorders>
              <w:top w:val="single" w:color="auto" w:sz="4" w:space="0"/>
              <w:left w:val="single" w:color="auto" w:sz="4" w:space="0"/>
              <w:bottom w:val="single" w:color="auto" w:sz="4" w:space="0"/>
              <w:right w:val="single" w:color="auto" w:sz="4" w:space="0"/>
            </w:tcBorders>
            <w:noWrap w:val="0"/>
            <w:vAlign w:val="center"/>
          </w:tcPr>
          <w:p>
            <w:pPr>
              <w:pStyle w:val="6"/>
              <w:spacing w:line="240" w:lineRule="atLeast"/>
              <w:rPr>
                <w:rFonts w:hint="default" w:eastAsia="宋体"/>
                <w:color w:val="auto"/>
                <w:szCs w:val="21"/>
                <w:highlight w:val="none"/>
                <w:lang w:val="en-US" w:eastAsia="zh-CN"/>
              </w:rPr>
            </w:pPr>
            <w:r>
              <w:rPr>
                <w:rFonts w:hint="eastAsia"/>
                <w:color w:val="auto"/>
                <w:szCs w:val="21"/>
                <w:highlight w:val="none"/>
                <w:lang w:val="en-US" w:eastAsia="zh-CN"/>
              </w:rPr>
              <w:t>20</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numPr>
                <w:ilvl w:val="0"/>
                <w:numId w:val="1"/>
              </w:numPr>
              <w:ind w:left="-63" w:leftChars="-30" w:right="-88" w:rightChars="-42"/>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对所有有效</w:t>
            </w:r>
            <w:r>
              <w:rPr>
                <w:rFonts w:hint="eastAsia" w:ascii="宋体" w:hAnsi="宋体" w:cs="宋体"/>
                <w:color w:val="auto"/>
                <w:sz w:val="21"/>
                <w:szCs w:val="21"/>
                <w:highlight w:val="none"/>
                <w:lang w:val="en-US" w:eastAsia="zh-CN"/>
              </w:rPr>
              <w:t>比选申请人</w:t>
            </w:r>
            <w:r>
              <w:rPr>
                <w:rFonts w:hint="eastAsia" w:ascii="宋体" w:hAnsi="宋体" w:eastAsia="宋体" w:cs="宋体"/>
                <w:color w:val="auto"/>
                <w:sz w:val="21"/>
                <w:szCs w:val="21"/>
                <w:highlight w:val="none"/>
              </w:rPr>
              <w:t>的报价进行算数平均，等于算数平均值的</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报价得满分</w:t>
            </w:r>
            <w:r>
              <w:rPr>
                <w:rFonts w:hint="eastAsia" w:ascii="宋体" w:hAnsi="宋体" w:cs="宋体"/>
                <w:color w:val="auto"/>
                <w:sz w:val="21"/>
                <w:szCs w:val="21"/>
                <w:highlight w:val="none"/>
                <w:lang w:val="en-US" w:eastAsia="zh-CN"/>
              </w:rPr>
              <w:t>20</w:t>
            </w:r>
            <w:r>
              <w:rPr>
                <w:rFonts w:hint="eastAsia" w:ascii="宋体" w:hAnsi="宋体" w:eastAsia="宋体" w:cs="宋体"/>
                <w:color w:val="auto"/>
                <w:sz w:val="21"/>
                <w:szCs w:val="21"/>
                <w:highlight w:val="none"/>
              </w:rPr>
              <w:t>分，其余</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报价与算数平均值相减，每高1%扣0.1分，每低1%扣0.1分，扣完为止。（不足1%按1%计，例：1.3%按2%计。）</w:t>
            </w:r>
          </w:p>
          <w:p>
            <w:pPr>
              <w:numPr>
                <w:ilvl w:val="0"/>
                <w:numId w:val="2"/>
              </w:numPr>
              <w:ind w:left="-63" w:leftChars="-30" w:right="-88" w:rightChars="-42"/>
              <w:jc w:val="left"/>
              <w:rPr>
                <w:color w:val="auto"/>
                <w:szCs w:val="21"/>
                <w:highlight w:val="none"/>
              </w:rPr>
            </w:pPr>
            <w:r>
              <w:rPr>
                <w:rFonts w:hint="eastAsia" w:ascii="宋体" w:hAnsi="宋体" w:eastAsia="宋体" w:cs="宋体"/>
                <w:color w:val="auto"/>
                <w:sz w:val="21"/>
                <w:szCs w:val="21"/>
                <w:highlight w:val="none"/>
                <w:lang w:val="zh-CN"/>
              </w:rPr>
              <w:t>对小型和微型企业的投标价格（如涉及）给予10%的扣除，用扣除后的价格参与评审；监狱企业视同为小型、微型企业享受10%的价格扣除。根据《三部门</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"http://www.ccgp.gov.cn/zcfg/mof/201709/t20170904_8787205.htm" \o "三部门联合发布关于促进残疾人就业政府采购政策的通知"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lang w:val="zh-CN"/>
              </w:rPr>
              <w:t>联合发布关于促进残疾人就业政府采购政策的通知</w:t>
            </w:r>
            <w:r>
              <w:rPr>
                <w:rFonts w:hint="eastAsia" w:ascii="宋体" w:hAnsi="宋体" w:eastAsia="宋体" w:cs="宋体"/>
                <w:color w:val="auto"/>
                <w:sz w:val="21"/>
                <w:szCs w:val="21"/>
                <w:highlight w:val="none"/>
                <w:lang w:val="zh-CN"/>
              </w:rPr>
              <w:fldChar w:fldCharType="end"/>
            </w:r>
            <w:r>
              <w:rPr>
                <w:rFonts w:hint="eastAsia" w:ascii="宋体" w:hAnsi="宋体" w:eastAsia="宋体" w:cs="宋体"/>
                <w:color w:val="auto"/>
                <w:sz w:val="21"/>
                <w:szCs w:val="21"/>
                <w:highlight w:val="none"/>
                <w:lang w:val="zh-CN"/>
              </w:rPr>
              <w:t>》（财库[2017]141号）的规定，对残疾人福利性单位的价格给予10%的价格扣除，用扣除后的价格参与评标。残疾人福利性单位属于小型、微型企业的，不重复享受政策。需提供《残疾人福利性单位声明函》。</w:t>
            </w:r>
          </w:p>
        </w:tc>
        <w:tc>
          <w:tcPr>
            <w:tcW w:w="110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ind w:firstLine="210" w:firstLineChars="100"/>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709" w:type="dxa"/>
            <w:vMerge w:val="restart"/>
            <w:tcBorders>
              <w:top w:val="single" w:color="auto" w:sz="4" w:space="0"/>
              <w:left w:val="single" w:color="auto" w:sz="4" w:space="0"/>
              <w:right w:val="single" w:color="auto" w:sz="4" w:space="0"/>
            </w:tcBorders>
            <w:noWrap w:val="0"/>
            <w:vAlign w:val="center"/>
          </w:tcPr>
          <w:p>
            <w:pPr>
              <w:jc w:val="center"/>
              <w:rPr>
                <w:color w:val="auto"/>
                <w:szCs w:val="21"/>
                <w:highlight w:val="none"/>
              </w:rPr>
            </w:pPr>
          </w:p>
          <w:p>
            <w:pPr>
              <w:jc w:val="center"/>
              <w:rPr>
                <w:color w:val="auto"/>
                <w:szCs w:val="21"/>
                <w:highlight w:val="none"/>
              </w:rPr>
            </w:pPr>
          </w:p>
          <w:p>
            <w:pPr>
              <w:jc w:val="center"/>
              <w:rPr>
                <w:color w:val="auto"/>
                <w:szCs w:val="21"/>
                <w:highlight w:val="none"/>
              </w:rPr>
            </w:pPr>
            <w:r>
              <w:rPr>
                <w:rFonts w:hint="eastAsia"/>
                <w:color w:val="auto"/>
                <w:szCs w:val="21"/>
                <w:highlight w:val="none"/>
              </w:rPr>
              <w:t>2</w:t>
            </w:r>
          </w:p>
          <w:p>
            <w:pPr>
              <w:jc w:val="center"/>
              <w:rPr>
                <w:color w:val="auto"/>
                <w:szCs w:val="21"/>
                <w:highlight w:val="none"/>
              </w:rPr>
            </w:pPr>
          </w:p>
          <w:p>
            <w:pPr>
              <w:jc w:val="center"/>
              <w:rPr>
                <w:color w:val="auto"/>
                <w:szCs w:val="21"/>
                <w:highlight w:val="none"/>
              </w:rPr>
            </w:pPr>
          </w:p>
        </w:tc>
        <w:tc>
          <w:tcPr>
            <w:tcW w:w="1275" w:type="dxa"/>
            <w:gridSpan w:val="2"/>
            <w:vMerge w:val="restart"/>
            <w:tcBorders>
              <w:top w:val="single" w:color="auto" w:sz="4" w:space="0"/>
              <w:left w:val="single" w:color="auto" w:sz="4" w:space="0"/>
              <w:right w:val="single" w:color="auto" w:sz="4" w:space="0"/>
            </w:tcBorders>
            <w:noWrap w:val="0"/>
            <w:vAlign w:val="center"/>
          </w:tcPr>
          <w:p>
            <w:pPr>
              <w:jc w:val="left"/>
              <w:rPr>
                <w:color w:val="auto"/>
                <w:szCs w:val="21"/>
                <w:highlight w:val="none"/>
              </w:rPr>
            </w:pPr>
            <w:r>
              <w:rPr>
                <w:rFonts w:hint="eastAsia"/>
                <w:color w:val="auto"/>
                <w:szCs w:val="21"/>
                <w:highlight w:val="none"/>
              </w:rPr>
              <w:t>企业综合</w:t>
            </w:r>
          </w:p>
          <w:p>
            <w:pPr>
              <w:jc w:val="left"/>
              <w:rPr>
                <w:color w:val="auto"/>
                <w:szCs w:val="21"/>
                <w:highlight w:val="none"/>
              </w:rPr>
            </w:pPr>
            <w:r>
              <w:rPr>
                <w:rFonts w:hint="eastAsia"/>
                <w:color w:val="auto"/>
                <w:szCs w:val="21"/>
                <w:highlight w:val="none"/>
              </w:rPr>
              <w:t>实力</w:t>
            </w:r>
            <w:r>
              <w:rPr>
                <w:rFonts w:hint="eastAsia"/>
                <w:color w:val="auto"/>
                <w:szCs w:val="21"/>
                <w:highlight w:val="none"/>
                <w:lang w:val="en-US" w:eastAsia="zh-CN"/>
              </w:rPr>
              <w:t>18</w:t>
            </w:r>
            <w:r>
              <w:rPr>
                <w:rFonts w:hint="eastAsia"/>
                <w:color w:val="auto"/>
                <w:szCs w:val="21"/>
                <w:highlight w:val="none"/>
              </w:rPr>
              <w:t>%</w:t>
            </w:r>
          </w:p>
        </w:tc>
        <w:tc>
          <w:tcPr>
            <w:tcW w:w="999" w:type="dxa"/>
            <w:vMerge w:val="restart"/>
            <w:tcBorders>
              <w:top w:val="single" w:color="auto" w:sz="4" w:space="0"/>
              <w:left w:val="single" w:color="auto" w:sz="4" w:space="0"/>
              <w:right w:val="single" w:color="auto" w:sz="4" w:space="0"/>
            </w:tcBorders>
            <w:noWrap w:val="0"/>
            <w:vAlign w:val="center"/>
          </w:tcPr>
          <w:p>
            <w:pPr>
              <w:jc w:val="center"/>
              <w:rPr>
                <w:rFonts w:hint="default" w:eastAsia="宋体"/>
                <w:color w:val="auto"/>
                <w:szCs w:val="21"/>
                <w:highlight w:val="none"/>
                <w:lang w:val="en-US" w:eastAsia="zh-CN"/>
              </w:rPr>
            </w:pPr>
            <w:r>
              <w:rPr>
                <w:rFonts w:hint="eastAsia"/>
                <w:color w:val="auto"/>
                <w:szCs w:val="21"/>
                <w:highlight w:val="none"/>
                <w:lang w:val="en-US" w:eastAsia="zh-CN"/>
              </w:rPr>
              <w:t>18</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spacing w:line="300" w:lineRule="exact"/>
              <w:jc w:val="left"/>
              <w:rPr>
                <w:rFonts w:hint="eastAsia"/>
                <w:color w:val="auto"/>
                <w:szCs w:val="21"/>
                <w:highlight w:val="none"/>
              </w:rPr>
            </w:pPr>
            <w:r>
              <w:rPr>
                <w:rFonts w:hint="eastAsia"/>
                <w:color w:val="auto"/>
                <w:szCs w:val="21"/>
                <w:highlight w:val="none"/>
                <w:lang w:val="en-US" w:eastAsia="zh-CN"/>
              </w:rPr>
              <w:t>比选申请人</w:t>
            </w:r>
            <w:r>
              <w:rPr>
                <w:rFonts w:hint="eastAsia"/>
                <w:color w:val="auto"/>
                <w:szCs w:val="21"/>
                <w:highlight w:val="none"/>
              </w:rPr>
              <w:t>具有</w:t>
            </w:r>
            <w:r>
              <w:rPr>
                <w:rFonts w:hint="eastAsia"/>
                <w:color w:val="auto"/>
                <w:szCs w:val="21"/>
                <w:highlight w:val="none"/>
                <w:lang w:val="en-US" w:eastAsia="zh-CN"/>
              </w:rPr>
              <w:t>一级造价工程师（或</w:t>
            </w:r>
            <w:r>
              <w:rPr>
                <w:rFonts w:hint="eastAsia"/>
                <w:color w:val="auto"/>
                <w:szCs w:val="21"/>
                <w:highlight w:val="none"/>
              </w:rPr>
              <w:t>全国注册造价工程师</w:t>
            </w:r>
            <w:r>
              <w:rPr>
                <w:rFonts w:hint="eastAsia"/>
                <w:color w:val="auto"/>
                <w:szCs w:val="21"/>
                <w:highlight w:val="none"/>
                <w:lang w:eastAsia="zh-CN"/>
              </w:rPr>
              <w:t>）</w:t>
            </w:r>
            <w:r>
              <w:rPr>
                <w:rFonts w:hint="eastAsia"/>
                <w:color w:val="auto"/>
                <w:szCs w:val="21"/>
                <w:highlight w:val="none"/>
                <w:lang w:val="en-US" w:eastAsia="zh-CN"/>
              </w:rPr>
              <w:t>10</w:t>
            </w:r>
            <w:r>
              <w:rPr>
                <w:rFonts w:hint="eastAsia"/>
                <w:color w:val="auto"/>
                <w:szCs w:val="21"/>
                <w:highlight w:val="none"/>
              </w:rPr>
              <w:t>人得基本分</w:t>
            </w:r>
            <w:r>
              <w:rPr>
                <w:rFonts w:hint="eastAsia"/>
                <w:color w:val="auto"/>
                <w:szCs w:val="21"/>
                <w:highlight w:val="none"/>
                <w:lang w:val="en-US" w:eastAsia="zh-CN"/>
              </w:rPr>
              <w:t>5</w:t>
            </w:r>
            <w:r>
              <w:rPr>
                <w:rFonts w:hint="eastAsia"/>
                <w:color w:val="auto"/>
                <w:szCs w:val="21"/>
                <w:highlight w:val="none"/>
              </w:rPr>
              <w:t>分，每增加一人得</w:t>
            </w:r>
            <w:r>
              <w:rPr>
                <w:rFonts w:hint="eastAsia"/>
                <w:color w:val="auto"/>
                <w:szCs w:val="21"/>
                <w:highlight w:val="none"/>
                <w:lang w:val="en-US" w:eastAsia="zh-CN"/>
              </w:rPr>
              <w:t>0.2</w:t>
            </w:r>
            <w:r>
              <w:rPr>
                <w:rFonts w:hint="eastAsia"/>
                <w:color w:val="auto"/>
                <w:szCs w:val="21"/>
                <w:highlight w:val="none"/>
              </w:rPr>
              <w:t>分，最多加</w:t>
            </w:r>
            <w:r>
              <w:rPr>
                <w:rFonts w:hint="eastAsia"/>
                <w:color w:val="auto"/>
                <w:szCs w:val="21"/>
                <w:highlight w:val="none"/>
                <w:lang w:val="en-US" w:eastAsia="zh-CN"/>
              </w:rPr>
              <w:t>3</w:t>
            </w:r>
            <w:r>
              <w:rPr>
                <w:rFonts w:hint="eastAsia"/>
                <w:color w:val="auto"/>
                <w:szCs w:val="21"/>
                <w:highlight w:val="none"/>
              </w:rPr>
              <w:t>分，本项共</w:t>
            </w:r>
            <w:r>
              <w:rPr>
                <w:rFonts w:hint="eastAsia"/>
                <w:color w:val="auto"/>
                <w:szCs w:val="21"/>
                <w:highlight w:val="none"/>
                <w:lang w:val="en-US" w:eastAsia="zh-CN"/>
              </w:rPr>
              <w:t>8</w:t>
            </w:r>
            <w:r>
              <w:rPr>
                <w:rFonts w:hint="eastAsia"/>
                <w:color w:val="auto"/>
                <w:szCs w:val="21"/>
                <w:highlight w:val="none"/>
              </w:rPr>
              <w:t>分。</w:t>
            </w:r>
          </w:p>
          <w:p>
            <w:pPr>
              <w:pStyle w:val="2"/>
              <w:numPr>
                <w:ilvl w:val="0"/>
                <w:numId w:val="0"/>
              </w:numPr>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2、以上一级造价工程师（或全国注册造价工程师）中每具有一个高级及以上职称的加0.2分(同一人不重复计分），本项最多得2分</w:t>
            </w:r>
          </w:p>
          <w:p>
            <w:pPr>
              <w:spacing w:line="300" w:lineRule="exact"/>
              <w:jc w:val="left"/>
              <w:rPr>
                <w:color w:val="auto"/>
                <w:szCs w:val="21"/>
                <w:highlight w:val="none"/>
              </w:rPr>
            </w:pPr>
            <w:r>
              <w:rPr>
                <w:rFonts w:hint="eastAsia"/>
                <w:color w:val="auto"/>
                <w:szCs w:val="21"/>
                <w:highlight w:val="none"/>
              </w:rPr>
              <w:t>（证明材料</w:t>
            </w:r>
            <w:r>
              <w:rPr>
                <w:rFonts w:hint="eastAsia" w:ascii="宋体" w:hAnsi="宋体" w:eastAsia="宋体" w:cs="宋体"/>
                <w:color w:val="auto"/>
                <w:sz w:val="21"/>
                <w:szCs w:val="21"/>
                <w:highlight w:val="none"/>
              </w:rPr>
              <w:t>提供住房和城乡建设部“全国建筑市场监管公共服务平台”注册造价工程师信息查询截图</w:t>
            </w:r>
            <w:r>
              <w:rPr>
                <w:rFonts w:hint="eastAsia"/>
                <w:color w:val="auto"/>
                <w:szCs w:val="21"/>
                <w:highlight w:val="none"/>
                <w:lang w:eastAsia="zh-CN"/>
              </w:rPr>
              <w:t>、</w:t>
            </w:r>
            <w:r>
              <w:rPr>
                <w:rFonts w:hint="eastAsia"/>
                <w:color w:val="auto"/>
                <w:szCs w:val="21"/>
                <w:highlight w:val="none"/>
              </w:rPr>
              <w:t>注册证书复印件</w:t>
            </w:r>
            <w:r>
              <w:rPr>
                <w:rFonts w:hint="eastAsia"/>
                <w:color w:val="auto"/>
                <w:szCs w:val="21"/>
                <w:highlight w:val="none"/>
                <w:lang w:val="en-US" w:eastAsia="zh-CN"/>
              </w:rPr>
              <w:t>和职称证书复印件等证明材料</w:t>
            </w:r>
            <w:r>
              <w:rPr>
                <w:rFonts w:hint="eastAsia"/>
                <w:color w:val="auto"/>
                <w:szCs w:val="21"/>
                <w:highlight w:val="none"/>
              </w:rPr>
              <w:t>）</w:t>
            </w:r>
          </w:p>
        </w:tc>
        <w:tc>
          <w:tcPr>
            <w:tcW w:w="1102" w:type="dxa"/>
            <w:vMerge w:val="restart"/>
            <w:tcBorders>
              <w:top w:val="single" w:color="auto" w:sz="4" w:space="0"/>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9" w:type="dxa"/>
            <w:vMerge w:val="continue"/>
            <w:tcBorders>
              <w:left w:val="single" w:color="auto" w:sz="4" w:space="0"/>
              <w:right w:val="single" w:color="auto" w:sz="4" w:space="0"/>
            </w:tcBorders>
            <w:noWrap w:val="0"/>
            <w:vAlign w:val="center"/>
          </w:tcPr>
          <w:p>
            <w:pPr>
              <w:jc w:val="center"/>
              <w:rPr>
                <w:color w:val="auto"/>
                <w:szCs w:val="21"/>
                <w:highlight w:val="none"/>
              </w:rPr>
            </w:pPr>
          </w:p>
        </w:tc>
        <w:tc>
          <w:tcPr>
            <w:tcW w:w="1275" w:type="dxa"/>
            <w:gridSpan w:val="2"/>
            <w:vMerge w:val="continue"/>
            <w:tcBorders>
              <w:left w:val="single" w:color="auto" w:sz="4" w:space="0"/>
              <w:right w:val="single" w:color="auto" w:sz="4" w:space="0"/>
            </w:tcBorders>
            <w:noWrap w:val="0"/>
            <w:vAlign w:val="center"/>
          </w:tcPr>
          <w:p>
            <w:pPr>
              <w:jc w:val="left"/>
              <w:rPr>
                <w:color w:val="auto"/>
                <w:szCs w:val="21"/>
                <w:highlight w:val="none"/>
              </w:rPr>
            </w:pPr>
          </w:p>
        </w:tc>
        <w:tc>
          <w:tcPr>
            <w:tcW w:w="999" w:type="dxa"/>
            <w:vMerge w:val="continue"/>
            <w:tcBorders>
              <w:left w:val="single" w:color="auto" w:sz="4" w:space="0"/>
              <w:right w:val="single" w:color="auto" w:sz="4" w:space="0"/>
            </w:tcBorders>
            <w:noWrap w:val="0"/>
            <w:vAlign w:val="center"/>
          </w:tcPr>
          <w:p>
            <w:pPr>
              <w:jc w:val="left"/>
              <w:rPr>
                <w:color w:val="auto"/>
                <w:szCs w:val="21"/>
                <w:highlight w:val="none"/>
              </w:rPr>
            </w:pP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ascii="宋体" w:hAnsi="宋体" w:eastAsia="宋体" w:cs="宋体"/>
                <w:lang w:val="en-US" w:eastAsia="zh-CN"/>
              </w:rPr>
              <w:t>2、</w:t>
            </w:r>
            <w:r>
              <w:rPr>
                <w:rFonts w:hint="eastAsia" w:ascii="宋体" w:hAnsi="宋体" w:cs="宋体"/>
                <w:lang w:val="en-US" w:eastAsia="zh-CN"/>
              </w:rPr>
              <w:t>比选申请人</w:t>
            </w:r>
            <w:r>
              <w:rPr>
                <w:rFonts w:hint="eastAsia" w:ascii="宋体" w:hAnsi="宋体" w:eastAsia="宋体" w:cs="宋体"/>
              </w:rPr>
              <w:t>获得201</w:t>
            </w:r>
            <w:r>
              <w:rPr>
                <w:rFonts w:hint="eastAsia" w:ascii="宋体" w:hAnsi="宋体" w:cs="宋体"/>
                <w:lang w:val="en-US" w:eastAsia="zh-CN"/>
              </w:rPr>
              <w:t>9</w:t>
            </w:r>
            <w:r>
              <w:rPr>
                <w:rFonts w:hint="eastAsia" w:ascii="宋体" w:hAnsi="宋体" w:eastAsia="宋体" w:cs="宋体"/>
              </w:rPr>
              <w:t>年</w:t>
            </w:r>
            <w:r>
              <w:rPr>
                <w:rFonts w:hint="eastAsia" w:ascii="宋体" w:hAnsi="宋体" w:cs="宋体"/>
                <w:lang w:val="en-US" w:eastAsia="zh-CN"/>
              </w:rPr>
              <w:t>度四川省</w:t>
            </w:r>
            <w:r>
              <w:rPr>
                <w:rFonts w:hint="eastAsia" w:ascii="宋体" w:hAnsi="宋体" w:eastAsia="宋体" w:cs="宋体"/>
              </w:rPr>
              <w:t>造价工程师协会能力和信用综合评价 AAA 等级得</w:t>
            </w:r>
            <w:r>
              <w:rPr>
                <w:rFonts w:hint="eastAsia" w:ascii="宋体" w:hAnsi="宋体" w:cs="宋体"/>
                <w:lang w:val="en-US" w:eastAsia="zh-CN"/>
              </w:rPr>
              <w:t>2</w:t>
            </w:r>
            <w:r>
              <w:rPr>
                <w:rFonts w:hint="eastAsia" w:ascii="宋体" w:hAnsi="宋体" w:eastAsia="宋体" w:cs="宋体"/>
              </w:rPr>
              <w:t>分。</w:t>
            </w:r>
          </w:p>
          <w:p>
            <w:pPr>
              <w:spacing w:line="300" w:lineRule="exact"/>
              <w:jc w:val="left"/>
              <w:rPr>
                <w:color w:val="auto"/>
                <w:szCs w:val="21"/>
                <w:highlight w:val="none"/>
              </w:rPr>
            </w:pPr>
            <w:r>
              <w:rPr>
                <w:rFonts w:hint="eastAsia"/>
                <w:color w:val="auto"/>
                <w:szCs w:val="21"/>
                <w:highlight w:val="none"/>
              </w:rPr>
              <w:t>（提供相应文件的复印件</w:t>
            </w:r>
            <w:r>
              <w:rPr>
                <w:rFonts w:hint="eastAsia"/>
                <w:color w:val="auto"/>
                <w:szCs w:val="21"/>
                <w:highlight w:val="none"/>
                <w:lang w:val="en-US" w:eastAsia="zh-CN"/>
              </w:rPr>
              <w:t>或</w:t>
            </w:r>
            <w:r>
              <w:rPr>
                <w:rFonts w:hint="eastAsia"/>
                <w:color w:val="auto"/>
                <w:szCs w:val="21"/>
                <w:highlight w:val="none"/>
              </w:rPr>
              <w:t>网页打印件</w:t>
            </w:r>
            <w:r>
              <w:rPr>
                <w:rFonts w:hint="eastAsia"/>
                <w:color w:val="auto"/>
                <w:szCs w:val="21"/>
                <w:highlight w:val="none"/>
                <w:lang w:val="en-US" w:eastAsia="zh-CN"/>
              </w:rPr>
              <w:t>并加盖公章</w:t>
            </w:r>
            <w:r>
              <w:rPr>
                <w:rFonts w:hint="eastAsia"/>
                <w:color w:val="auto"/>
                <w:szCs w:val="21"/>
                <w:highlight w:val="none"/>
              </w:rPr>
              <w:t>)</w:t>
            </w:r>
          </w:p>
        </w:tc>
        <w:tc>
          <w:tcPr>
            <w:tcW w:w="1102" w:type="dxa"/>
            <w:vMerge w:val="continue"/>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709" w:type="dxa"/>
            <w:vMerge w:val="continue"/>
            <w:tcBorders>
              <w:left w:val="single" w:color="auto" w:sz="4" w:space="0"/>
              <w:right w:val="single" w:color="auto" w:sz="4" w:space="0"/>
            </w:tcBorders>
            <w:noWrap w:val="0"/>
            <w:vAlign w:val="center"/>
          </w:tcPr>
          <w:p>
            <w:pPr>
              <w:jc w:val="center"/>
              <w:rPr>
                <w:color w:val="auto"/>
                <w:szCs w:val="21"/>
                <w:highlight w:val="none"/>
              </w:rPr>
            </w:pPr>
          </w:p>
        </w:tc>
        <w:tc>
          <w:tcPr>
            <w:tcW w:w="1275" w:type="dxa"/>
            <w:gridSpan w:val="2"/>
            <w:vMerge w:val="continue"/>
            <w:tcBorders>
              <w:left w:val="single" w:color="auto" w:sz="4" w:space="0"/>
              <w:right w:val="single" w:color="auto" w:sz="4" w:space="0"/>
            </w:tcBorders>
            <w:noWrap w:val="0"/>
            <w:vAlign w:val="center"/>
          </w:tcPr>
          <w:p>
            <w:pPr>
              <w:jc w:val="left"/>
              <w:rPr>
                <w:color w:val="auto"/>
                <w:szCs w:val="21"/>
                <w:highlight w:val="none"/>
              </w:rPr>
            </w:pPr>
          </w:p>
        </w:tc>
        <w:tc>
          <w:tcPr>
            <w:tcW w:w="999" w:type="dxa"/>
            <w:vMerge w:val="continue"/>
            <w:tcBorders>
              <w:left w:val="single" w:color="auto" w:sz="4" w:space="0"/>
              <w:right w:val="single" w:color="auto" w:sz="4" w:space="0"/>
            </w:tcBorders>
            <w:noWrap w:val="0"/>
            <w:vAlign w:val="center"/>
          </w:tcPr>
          <w:p>
            <w:pPr>
              <w:jc w:val="left"/>
              <w:rPr>
                <w:color w:val="auto"/>
                <w:szCs w:val="21"/>
                <w:highlight w:val="none"/>
              </w:rPr>
            </w:pP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kern w:val="2"/>
                <w:sz w:val="21"/>
                <w:szCs w:val="24"/>
                <w:lang w:val="en-US" w:eastAsia="zh-CN" w:bidi="ar-SA"/>
              </w:rPr>
              <w:t>3、</w:t>
            </w:r>
            <w:r>
              <w:rPr>
                <w:rFonts w:hint="eastAsia" w:ascii="宋体" w:hAnsi="宋体" w:cs="宋体"/>
                <w:color w:val="auto"/>
                <w:kern w:val="2"/>
                <w:sz w:val="21"/>
                <w:szCs w:val="24"/>
                <w:lang w:val="en-US" w:eastAsia="zh-CN" w:bidi="ar-SA"/>
              </w:rPr>
              <w:t>比选申请人</w:t>
            </w:r>
            <w:r>
              <w:rPr>
                <w:rFonts w:hint="eastAsia" w:ascii="宋体" w:hAnsi="宋体" w:eastAsia="宋体" w:cs="宋体"/>
                <w:color w:val="auto"/>
                <w:kern w:val="2"/>
                <w:sz w:val="21"/>
                <w:szCs w:val="24"/>
                <w:lang w:val="en-US" w:eastAsia="zh-CN" w:bidi="ar-SA"/>
              </w:rPr>
              <w:t>201</w:t>
            </w:r>
            <w:r>
              <w:rPr>
                <w:rFonts w:hint="eastAsia" w:ascii="宋体" w:hAnsi="宋体" w:cs="宋体"/>
                <w:color w:val="auto"/>
                <w:kern w:val="2"/>
                <w:sz w:val="21"/>
                <w:szCs w:val="24"/>
                <w:lang w:val="en-US" w:eastAsia="zh-CN" w:bidi="ar-SA"/>
              </w:rPr>
              <w:t>8</w:t>
            </w:r>
            <w:r>
              <w:rPr>
                <w:rFonts w:hint="eastAsia" w:ascii="宋体" w:hAnsi="宋体" w:eastAsia="宋体" w:cs="宋体"/>
                <w:color w:val="auto"/>
                <w:kern w:val="2"/>
                <w:sz w:val="21"/>
                <w:szCs w:val="24"/>
                <w:lang w:val="en-US" w:eastAsia="zh-CN" w:bidi="ar-SA"/>
              </w:rPr>
              <w:t xml:space="preserve"> 年以来被市级及以上造价工程师协会评选表彰为年度优秀工程造价咨询企业：三个年度被评为优秀工程造价咨询企业的得 3 分；两个年度被评为优秀工程造价咨询企业的得 2 分，一个年度被评为优秀工程造价咨询 企业的得 1 分。本项最多得 3 分。</w:t>
            </w:r>
          </w:p>
          <w:p>
            <w:pPr>
              <w:spacing w:line="300" w:lineRule="exact"/>
              <w:jc w:val="left"/>
              <w:rPr>
                <w:color w:val="auto"/>
                <w:szCs w:val="21"/>
                <w:highlight w:val="none"/>
              </w:rPr>
            </w:pPr>
            <w:r>
              <w:rPr>
                <w:rFonts w:hint="eastAsia" w:ascii="宋体" w:hAnsi="宋体" w:eastAsia="宋体" w:cs="宋体"/>
                <w:color w:val="auto"/>
                <w:kern w:val="2"/>
                <w:sz w:val="21"/>
                <w:szCs w:val="24"/>
                <w:lang w:val="en-US" w:eastAsia="zh-CN" w:bidi="ar-SA"/>
              </w:rPr>
              <w:t>（提供证书或相关文件复印件并加盖公章）。</w:t>
            </w:r>
          </w:p>
        </w:tc>
        <w:tc>
          <w:tcPr>
            <w:tcW w:w="1102" w:type="dxa"/>
            <w:vMerge w:val="continue"/>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709" w:type="dxa"/>
            <w:vMerge w:val="continue"/>
            <w:tcBorders>
              <w:left w:val="single" w:color="auto" w:sz="4" w:space="0"/>
              <w:bottom w:val="single" w:color="auto" w:sz="4" w:space="0"/>
              <w:right w:val="single" w:color="auto" w:sz="4" w:space="0"/>
            </w:tcBorders>
            <w:noWrap w:val="0"/>
            <w:vAlign w:val="center"/>
          </w:tcPr>
          <w:p>
            <w:pPr>
              <w:jc w:val="center"/>
              <w:rPr>
                <w:color w:val="auto"/>
                <w:szCs w:val="21"/>
                <w:highlight w:val="none"/>
              </w:rPr>
            </w:pPr>
          </w:p>
        </w:tc>
        <w:tc>
          <w:tcPr>
            <w:tcW w:w="1275" w:type="dxa"/>
            <w:gridSpan w:val="2"/>
            <w:vMerge w:val="continue"/>
            <w:tcBorders>
              <w:left w:val="single" w:color="auto" w:sz="4" w:space="0"/>
              <w:bottom w:val="single" w:color="auto" w:sz="4" w:space="0"/>
              <w:right w:val="single" w:color="auto" w:sz="4" w:space="0"/>
            </w:tcBorders>
            <w:noWrap w:val="0"/>
            <w:vAlign w:val="center"/>
          </w:tcPr>
          <w:p>
            <w:pPr>
              <w:jc w:val="left"/>
              <w:rPr>
                <w:color w:val="auto"/>
                <w:szCs w:val="21"/>
                <w:highlight w:val="none"/>
              </w:rPr>
            </w:pPr>
          </w:p>
        </w:tc>
        <w:tc>
          <w:tcPr>
            <w:tcW w:w="999" w:type="dxa"/>
            <w:vMerge w:val="continue"/>
            <w:tcBorders>
              <w:left w:val="single" w:color="auto" w:sz="4" w:space="0"/>
              <w:bottom w:val="single" w:color="auto" w:sz="4" w:space="0"/>
              <w:right w:val="single" w:color="auto" w:sz="4" w:space="0"/>
            </w:tcBorders>
            <w:noWrap w:val="0"/>
            <w:vAlign w:val="center"/>
          </w:tcPr>
          <w:p>
            <w:pPr>
              <w:jc w:val="left"/>
              <w:rPr>
                <w:color w:val="auto"/>
                <w:szCs w:val="21"/>
                <w:highlight w:val="none"/>
              </w:rPr>
            </w:pP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ascii="宋体" w:hAnsi="宋体" w:eastAsia="宋体" w:cs="宋体"/>
                <w:color w:val="auto"/>
                <w:kern w:val="2"/>
                <w:sz w:val="21"/>
                <w:szCs w:val="24"/>
                <w:lang w:val="en-US" w:eastAsia="zh-CN" w:bidi="ar-SA"/>
              </w:rPr>
              <w:t>4、</w:t>
            </w:r>
            <w:r>
              <w:rPr>
                <w:rFonts w:hint="eastAsia" w:ascii="宋体" w:hAnsi="宋体" w:cs="宋体"/>
                <w:color w:val="auto"/>
                <w:kern w:val="2"/>
                <w:sz w:val="21"/>
                <w:szCs w:val="24"/>
                <w:lang w:val="en-US" w:eastAsia="zh-CN" w:bidi="ar-SA"/>
              </w:rPr>
              <w:t>比选申请人</w:t>
            </w:r>
            <w:r>
              <w:rPr>
                <w:rFonts w:hint="eastAsia" w:ascii="宋体" w:hAnsi="宋体" w:eastAsia="宋体" w:cs="宋体"/>
                <w:color w:val="auto"/>
                <w:kern w:val="2"/>
                <w:sz w:val="21"/>
                <w:szCs w:val="24"/>
                <w:lang w:val="en-US" w:eastAsia="zh-CN" w:bidi="ar-SA"/>
              </w:rPr>
              <w:t>具有质量管理体系认证证书、环境管理体系认证证书、职业健康安全管理体系认证证书且在有效期内得 3 分，每缺一项扣 1 分，扣完为止。提供证书复印件并加盖公章。</w:t>
            </w:r>
          </w:p>
        </w:tc>
        <w:tc>
          <w:tcPr>
            <w:tcW w:w="1102" w:type="dxa"/>
            <w:vMerge w:val="continue"/>
            <w:tcBorders>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709" w:type="dxa"/>
            <w:vMerge w:val="restart"/>
            <w:tcBorders>
              <w:top w:val="single" w:color="auto" w:sz="4" w:space="0"/>
              <w:left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3</w:t>
            </w:r>
          </w:p>
        </w:tc>
        <w:tc>
          <w:tcPr>
            <w:tcW w:w="1275" w:type="dxa"/>
            <w:gridSpan w:val="2"/>
            <w:vMerge w:val="restart"/>
            <w:tcBorders>
              <w:top w:val="single" w:color="auto" w:sz="4" w:space="0"/>
              <w:left w:val="single" w:color="auto" w:sz="4" w:space="0"/>
              <w:right w:val="single" w:color="auto" w:sz="4" w:space="0"/>
            </w:tcBorders>
            <w:noWrap w:val="0"/>
            <w:vAlign w:val="center"/>
          </w:tcPr>
          <w:p>
            <w:pPr>
              <w:jc w:val="left"/>
              <w:rPr>
                <w:color w:val="auto"/>
                <w:szCs w:val="21"/>
                <w:highlight w:val="none"/>
              </w:rPr>
            </w:pPr>
            <w:r>
              <w:rPr>
                <w:rFonts w:hint="eastAsia"/>
                <w:color w:val="auto"/>
                <w:szCs w:val="21"/>
                <w:highlight w:val="none"/>
              </w:rPr>
              <w:t>组织机构 及人员配置</w:t>
            </w:r>
            <w:r>
              <w:rPr>
                <w:rFonts w:hint="eastAsia"/>
                <w:color w:val="auto"/>
                <w:szCs w:val="21"/>
                <w:highlight w:val="none"/>
                <w:lang w:val="en-US" w:eastAsia="zh-CN"/>
              </w:rPr>
              <w:t>12</w:t>
            </w:r>
            <w:r>
              <w:rPr>
                <w:rFonts w:hint="eastAsia"/>
                <w:color w:val="auto"/>
                <w:szCs w:val="21"/>
                <w:highlight w:val="none"/>
              </w:rPr>
              <w:t>%</w:t>
            </w:r>
          </w:p>
          <w:p>
            <w:pPr>
              <w:jc w:val="left"/>
              <w:rPr>
                <w:color w:val="auto"/>
                <w:szCs w:val="21"/>
                <w:highlight w:val="none"/>
              </w:rPr>
            </w:pPr>
          </w:p>
        </w:tc>
        <w:tc>
          <w:tcPr>
            <w:tcW w:w="999" w:type="dxa"/>
            <w:vMerge w:val="restart"/>
            <w:tcBorders>
              <w:top w:val="single" w:color="auto" w:sz="4" w:space="0"/>
              <w:left w:val="single" w:color="auto" w:sz="4" w:space="0"/>
              <w:right w:val="single" w:color="auto" w:sz="4" w:space="0"/>
            </w:tcBorders>
            <w:noWrap w:val="0"/>
            <w:vAlign w:val="center"/>
          </w:tcPr>
          <w:p>
            <w:pPr>
              <w:jc w:val="center"/>
              <w:rPr>
                <w:rFonts w:hint="default" w:eastAsia="宋体"/>
                <w:color w:val="auto"/>
                <w:szCs w:val="21"/>
                <w:highlight w:val="none"/>
                <w:lang w:val="en-US" w:eastAsia="zh-CN"/>
              </w:rPr>
            </w:pPr>
            <w:r>
              <w:rPr>
                <w:rFonts w:hint="eastAsia"/>
                <w:color w:val="auto"/>
                <w:szCs w:val="21"/>
                <w:highlight w:val="none"/>
                <w:lang w:val="en-US" w:eastAsia="zh-CN"/>
              </w:rPr>
              <w:t>12</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color w:val="auto"/>
                <w:szCs w:val="21"/>
                <w:highlight w:val="none"/>
              </w:rPr>
              <w:t>项目负责人</w:t>
            </w:r>
            <w:r>
              <w:rPr>
                <w:rFonts w:hint="eastAsia"/>
                <w:color w:val="auto"/>
                <w:szCs w:val="21"/>
                <w:highlight w:val="none"/>
                <w:lang w:eastAsia="zh-CN"/>
              </w:rPr>
              <w:t>（</w:t>
            </w:r>
            <w:r>
              <w:rPr>
                <w:rFonts w:hint="eastAsia"/>
                <w:color w:val="auto"/>
                <w:szCs w:val="21"/>
                <w:highlight w:val="none"/>
                <w:lang w:val="en-US" w:eastAsia="zh-CN"/>
              </w:rPr>
              <w:t>1人）</w:t>
            </w:r>
            <w:r>
              <w:rPr>
                <w:rFonts w:hint="eastAsia"/>
                <w:color w:val="auto"/>
                <w:szCs w:val="21"/>
                <w:highlight w:val="none"/>
              </w:rPr>
              <w:t>：</w:t>
            </w:r>
          </w:p>
          <w:p>
            <w:pPr>
              <w:spacing w:line="300" w:lineRule="exact"/>
              <w:ind w:firstLine="420" w:firstLineChars="200"/>
              <w:jc w:val="left"/>
              <w:rPr>
                <w:color w:val="auto"/>
                <w:szCs w:val="21"/>
                <w:highlight w:val="none"/>
              </w:rPr>
            </w:pPr>
            <w:r>
              <w:rPr>
                <w:rFonts w:hint="eastAsia"/>
                <w:color w:val="auto"/>
                <w:szCs w:val="21"/>
                <w:highlight w:val="none"/>
              </w:rPr>
              <w:t>项目负责人具有</w:t>
            </w:r>
            <w:r>
              <w:rPr>
                <w:rFonts w:hint="eastAsia"/>
                <w:color w:val="auto"/>
                <w:szCs w:val="21"/>
                <w:highlight w:val="none"/>
                <w:lang w:val="en-US" w:eastAsia="zh-CN"/>
              </w:rPr>
              <w:t>一级造价工程师（或</w:t>
            </w:r>
            <w:r>
              <w:rPr>
                <w:rFonts w:hint="eastAsia"/>
                <w:color w:val="auto"/>
                <w:szCs w:val="21"/>
                <w:highlight w:val="none"/>
              </w:rPr>
              <w:t>全国注册造价工程师</w:t>
            </w:r>
            <w:r>
              <w:rPr>
                <w:rFonts w:hint="eastAsia"/>
                <w:color w:val="auto"/>
                <w:szCs w:val="21"/>
                <w:highlight w:val="none"/>
                <w:lang w:eastAsia="zh-CN"/>
              </w:rPr>
              <w:t>）【</w:t>
            </w:r>
            <w:r>
              <w:rPr>
                <w:rFonts w:hint="eastAsia"/>
                <w:color w:val="auto"/>
                <w:szCs w:val="21"/>
                <w:highlight w:val="none"/>
                <w:lang w:val="en-US" w:eastAsia="zh-CN"/>
              </w:rPr>
              <w:t>土建】专业</w:t>
            </w:r>
            <w:r>
              <w:rPr>
                <w:rFonts w:hint="eastAsia"/>
                <w:color w:val="auto"/>
                <w:szCs w:val="21"/>
                <w:highlight w:val="none"/>
              </w:rPr>
              <w:t>资格的得</w:t>
            </w:r>
            <w:r>
              <w:rPr>
                <w:rFonts w:hint="eastAsia"/>
                <w:color w:val="auto"/>
                <w:szCs w:val="21"/>
                <w:highlight w:val="none"/>
                <w:lang w:val="en-US" w:eastAsia="zh-CN"/>
              </w:rPr>
              <w:t>2</w:t>
            </w:r>
            <w:r>
              <w:rPr>
                <w:rFonts w:hint="eastAsia"/>
                <w:color w:val="auto"/>
                <w:szCs w:val="21"/>
                <w:highlight w:val="none"/>
              </w:rPr>
              <w:t>分，同时具有高级</w:t>
            </w:r>
            <w:r>
              <w:rPr>
                <w:rFonts w:hint="eastAsia"/>
                <w:color w:val="auto"/>
                <w:szCs w:val="21"/>
                <w:highlight w:val="none"/>
                <w:lang w:val="en-US" w:eastAsia="zh-CN"/>
              </w:rPr>
              <w:t>工程师</w:t>
            </w:r>
            <w:r>
              <w:rPr>
                <w:rFonts w:hint="eastAsia"/>
                <w:color w:val="auto"/>
                <w:szCs w:val="21"/>
                <w:highlight w:val="none"/>
              </w:rPr>
              <w:t>及以上职称的加</w:t>
            </w:r>
            <w:r>
              <w:rPr>
                <w:rFonts w:hint="eastAsia"/>
                <w:color w:val="auto"/>
                <w:szCs w:val="21"/>
                <w:highlight w:val="none"/>
                <w:lang w:val="en-US" w:eastAsia="zh-CN"/>
              </w:rPr>
              <w:t>1</w:t>
            </w:r>
            <w:r>
              <w:rPr>
                <w:rFonts w:hint="eastAsia"/>
                <w:color w:val="auto"/>
                <w:szCs w:val="21"/>
                <w:highlight w:val="none"/>
              </w:rPr>
              <w:t>分。（</w:t>
            </w:r>
            <w:r>
              <w:rPr>
                <w:rFonts w:hint="eastAsia"/>
                <w:color w:val="auto"/>
                <w:szCs w:val="21"/>
                <w:highlight w:val="none"/>
                <w:lang w:val="en-US" w:eastAsia="zh-CN"/>
              </w:rPr>
              <w:t>本项</w:t>
            </w:r>
            <w:r>
              <w:rPr>
                <w:rFonts w:hint="eastAsia"/>
                <w:color w:val="auto"/>
                <w:szCs w:val="21"/>
                <w:highlight w:val="none"/>
              </w:rPr>
              <w:t>最多得</w:t>
            </w:r>
            <w:r>
              <w:rPr>
                <w:rFonts w:hint="eastAsia"/>
                <w:color w:val="auto"/>
                <w:szCs w:val="21"/>
                <w:highlight w:val="none"/>
                <w:lang w:val="en-US" w:eastAsia="zh-CN"/>
              </w:rPr>
              <w:t>3</w:t>
            </w:r>
            <w:r>
              <w:rPr>
                <w:rFonts w:hint="eastAsia"/>
                <w:color w:val="auto"/>
                <w:szCs w:val="21"/>
                <w:highlight w:val="none"/>
              </w:rPr>
              <w:t>分）。</w:t>
            </w:r>
          </w:p>
        </w:tc>
        <w:tc>
          <w:tcPr>
            <w:tcW w:w="1102" w:type="dxa"/>
            <w:vMerge w:val="restart"/>
            <w:tcBorders>
              <w:top w:val="single" w:color="auto" w:sz="4" w:space="0"/>
              <w:left w:val="single" w:color="auto" w:sz="4" w:space="0"/>
              <w:right w:val="single" w:color="auto" w:sz="4" w:space="0"/>
            </w:tcBorders>
            <w:noWrap w:val="0"/>
            <w:vAlign w:val="center"/>
          </w:tcPr>
          <w:p>
            <w:pPr>
              <w:spacing w:line="300" w:lineRule="exact"/>
              <w:jc w:val="left"/>
              <w:rPr>
                <w:rFonts w:hint="eastAsia"/>
                <w:color w:val="auto"/>
                <w:szCs w:val="21"/>
                <w:highlight w:val="none"/>
                <w:lang w:val="en-US" w:eastAsia="zh-CN"/>
              </w:rPr>
            </w:pPr>
            <w:r>
              <w:rPr>
                <w:rFonts w:hint="eastAsia"/>
                <w:color w:val="auto"/>
                <w:szCs w:val="21"/>
                <w:highlight w:val="none"/>
              </w:rPr>
              <w:t>证明材料提供相关证书复印件及近6个月社保缴纳凭证（按规定缓交的和不再需要交纳社保的应提供相关证明），并加盖</w:t>
            </w:r>
            <w:r>
              <w:rPr>
                <w:rFonts w:hint="eastAsia"/>
                <w:color w:val="auto"/>
                <w:szCs w:val="21"/>
                <w:highlight w:val="none"/>
                <w:lang w:val="en-US" w:eastAsia="zh-CN"/>
              </w:rPr>
              <w:t>公</w:t>
            </w:r>
          </w:p>
          <w:p>
            <w:pPr>
              <w:spacing w:line="300" w:lineRule="exact"/>
              <w:jc w:val="left"/>
              <w:rPr>
                <w:color w:val="auto"/>
                <w:szCs w:val="21"/>
                <w:highlight w:val="none"/>
              </w:rPr>
            </w:pPr>
            <w:r>
              <w:rPr>
                <w:rFonts w:hint="eastAsia"/>
                <w:color w:val="auto"/>
                <w:szCs w:val="21"/>
                <w:highlight w:val="none"/>
              </w:rPr>
              <w:t>章；所有人员配备不得重复配置。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9" w:hRule="atLeast"/>
        </w:trPr>
        <w:tc>
          <w:tcPr>
            <w:tcW w:w="709" w:type="dxa"/>
            <w:vMerge w:val="continue"/>
            <w:tcBorders>
              <w:left w:val="single" w:color="auto" w:sz="4" w:space="0"/>
              <w:right w:val="single" w:color="auto" w:sz="4" w:space="0"/>
            </w:tcBorders>
            <w:noWrap w:val="0"/>
            <w:vAlign w:val="center"/>
          </w:tcPr>
          <w:p>
            <w:pPr>
              <w:jc w:val="center"/>
              <w:rPr>
                <w:color w:val="auto"/>
                <w:szCs w:val="21"/>
                <w:highlight w:val="none"/>
              </w:rPr>
            </w:pPr>
          </w:p>
        </w:tc>
        <w:tc>
          <w:tcPr>
            <w:tcW w:w="1275" w:type="dxa"/>
            <w:gridSpan w:val="2"/>
            <w:vMerge w:val="continue"/>
            <w:tcBorders>
              <w:left w:val="single" w:color="auto" w:sz="4" w:space="0"/>
              <w:right w:val="single" w:color="auto" w:sz="4" w:space="0"/>
            </w:tcBorders>
            <w:noWrap w:val="0"/>
            <w:vAlign w:val="center"/>
          </w:tcPr>
          <w:p>
            <w:pPr>
              <w:jc w:val="left"/>
              <w:rPr>
                <w:color w:val="auto"/>
                <w:szCs w:val="21"/>
                <w:highlight w:val="none"/>
              </w:rPr>
            </w:pPr>
          </w:p>
        </w:tc>
        <w:tc>
          <w:tcPr>
            <w:tcW w:w="999" w:type="dxa"/>
            <w:vMerge w:val="continue"/>
            <w:tcBorders>
              <w:left w:val="single" w:color="auto" w:sz="4" w:space="0"/>
              <w:right w:val="single" w:color="auto" w:sz="4" w:space="0"/>
            </w:tcBorders>
            <w:noWrap w:val="0"/>
            <w:vAlign w:val="center"/>
          </w:tcPr>
          <w:p>
            <w:pPr>
              <w:jc w:val="left"/>
              <w:rPr>
                <w:color w:val="auto"/>
                <w:szCs w:val="21"/>
                <w:highlight w:val="none"/>
              </w:rPr>
            </w:pPr>
          </w:p>
        </w:tc>
        <w:tc>
          <w:tcPr>
            <w:tcW w:w="3995" w:type="dxa"/>
            <w:tcBorders>
              <w:top w:val="single" w:color="auto" w:sz="4" w:space="0"/>
              <w:left w:val="single" w:color="auto" w:sz="4" w:space="0"/>
              <w:right w:val="single" w:color="auto" w:sz="4" w:space="0"/>
            </w:tcBorders>
            <w:noWrap w:val="0"/>
            <w:vAlign w:val="center"/>
          </w:tcPr>
          <w:p>
            <w:pPr>
              <w:widowControl/>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项目技术负责人</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1人</w:t>
            </w:r>
            <w:r>
              <w:rPr>
                <w:rFonts w:hint="eastAsia" w:asciiTheme="minorEastAsia" w:hAnsiTheme="minorEastAsia" w:eastAsiaTheme="minorEastAsia" w:cstheme="minorEastAsia"/>
                <w:lang w:eastAsia="zh-CN"/>
              </w:rPr>
              <w:t>）：</w:t>
            </w:r>
          </w:p>
          <w:p>
            <w:pPr>
              <w:widowControl/>
              <w:ind w:firstLine="420" w:firstLineChars="200"/>
              <w:rPr>
                <w:color w:val="auto"/>
                <w:szCs w:val="21"/>
                <w:highlight w:val="none"/>
              </w:rPr>
            </w:pPr>
            <w:r>
              <w:rPr>
                <w:rFonts w:hint="eastAsia" w:asciiTheme="minorEastAsia" w:hAnsiTheme="minorEastAsia" w:eastAsiaTheme="minorEastAsia" w:cstheme="minorEastAsia"/>
              </w:rPr>
              <w:t>项目技术负责人</w:t>
            </w:r>
            <w:r>
              <w:rPr>
                <w:rFonts w:hint="eastAsia"/>
                <w:color w:val="auto"/>
                <w:szCs w:val="21"/>
                <w:highlight w:val="none"/>
              </w:rPr>
              <w:t>具有</w:t>
            </w:r>
            <w:r>
              <w:rPr>
                <w:rFonts w:hint="eastAsia"/>
                <w:color w:val="auto"/>
                <w:szCs w:val="21"/>
                <w:highlight w:val="none"/>
                <w:lang w:val="en-US" w:eastAsia="zh-CN"/>
              </w:rPr>
              <w:t>一级造价工程师（或</w:t>
            </w:r>
            <w:r>
              <w:rPr>
                <w:rFonts w:hint="eastAsia"/>
                <w:color w:val="auto"/>
                <w:szCs w:val="21"/>
                <w:highlight w:val="none"/>
              </w:rPr>
              <w:t>全国注册造价工程师</w:t>
            </w:r>
            <w:r>
              <w:rPr>
                <w:rFonts w:hint="eastAsia"/>
                <w:color w:val="auto"/>
                <w:szCs w:val="21"/>
                <w:highlight w:val="none"/>
                <w:lang w:eastAsia="zh-CN"/>
              </w:rPr>
              <w:t>）【</w:t>
            </w:r>
            <w:r>
              <w:rPr>
                <w:rFonts w:hint="eastAsia"/>
                <w:color w:val="auto"/>
                <w:szCs w:val="21"/>
                <w:highlight w:val="none"/>
                <w:lang w:val="en-US" w:eastAsia="zh-CN"/>
              </w:rPr>
              <w:t>土建】专业</w:t>
            </w:r>
            <w:r>
              <w:rPr>
                <w:rFonts w:hint="eastAsia"/>
                <w:color w:val="auto"/>
                <w:szCs w:val="21"/>
                <w:highlight w:val="none"/>
              </w:rPr>
              <w:t>资格的得</w:t>
            </w:r>
            <w:r>
              <w:rPr>
                <w:rFonts w:hint="eastAsia"/>
                <w:color w:val="auto"/>
                <w:szCs w:val="21"/>
                <w:highlight w:val="none"/>
                <w:lang w:val="en-US" w:eastAsia="zh-CN"/>
              </w:rPr>
              <w:t>2</w:t>
            </w:r>
            <w:r>
              <w:rPr>
                <w:rFonts w:hint="eastAsia"/>
                <w:color w:val="auto"/>
                <w:szCs w:val="21"/>
                <w:highlight w:val="none"/>
              </w:rPr>
              <w:t>分</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lang w:val="en-US" w:eastAsia="zh-CN"/>
              </w:rPr>
              <w:t>具有</w:t>
            </w:r>
            <w:r>
              <w:rPr>
                <w:rFonts w:hint="eastAsia" w:asciiTheme="minorEastAsia" w:hAnsiTheme="minorEastAsia" w:eastAsiaTheme="minorEastAsia" w:cstheme="minorEastAsia"/>
              </w:rPr>
              <w:t>高级工程师及以上职称的加</w:t>
            </w:r>
            <w:r>
              <w:rPr>
                <w:rFonts w:hint="eastAsia" w:asciiTheme="minorEastAsia" w:hAnsiTheme="minorEastAsia" w:eastAsiaTheme="minorEastAsia" w:cstheme="minorEastAsia"/>
                <w:lang w:val="en-US" w:eastAsia="zh-CN"/>
              </w:rPr>
              <w:t>1</w:t>
            </w:r>
            <w:r>
              <w:rPr>
                <w:rFonts w:hint="eastAsia" w:asciiTheme="minorEastAsia" w:hAnsiTheme="minorEastAsia" w:eastAsiaTheme="minorEastAsia" w:cstheme="minorEastAsia"/>
              </w:rPr>
              <w:t>分</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rPr>
              <w:t>本项最多得</w:t>
            </w:r>
            <w:r>
              <w:rPr>
                <w:rFonts w:hint="eastAsia" w:asciiTheme="minorEastAsia" w:hAnsiTheme="minorEastAsia" w:eastAsiaTheme="minorEastAsia" w:cstheme="minorEastAsia"/>
                <w:lang w:val="en-US" w:eastAsia="zh-CN"/>
              </w:rPr>
              <w:t>3</w:t>
            </w:r>
            <w:r>
              <w:rPr>
                <w:rFonts w:hint="eastAsia" w:asciiTheme="minorEastAsia" w:hAnsiTheme="minorEastAsia" w:eastAsiaTheme="minorEastAsia" w:cstheme="minorEastAsia"/>
              </w:rPr>
              <w:t>分</w:t>
            </w:r>
            <w:r>
              <w:rPr>
                <w:rFonts w:hint="eastAsia" w:asciiTheme="minorEastAsia" w:hAnsiTheme="minorEastAsia" w:eastAsiaTheme="minorEastAsia" w:cstheme="minorEastAsia"/>
                <w:lang w:val="en-US" w:eastAsia="zh-CN"/>
              </w:rPr>
              <w:t>）</w:t>
            </w:r>
            <w:r>
              <w:rPr>
                <w:rFonts w:hint="eastAsia" w:asciiTheme="minorEastAsia" w:hAnsiTheme="minorEastAsia" w:eastAsiaTheme="minorEastAsia" w:cstheme="minorEastAsia"/>
                <w:lang w:eastAsia="zh-CN"/>
              </w:rPr>
              <w:t>。</w:t>
            </w:r>
          </w:p>
        </w:tc>
        <w:tc>
          <w:tcPr>
            <w:tcW w:w="1102" w:type="dxa"/>
            <w:vMerge w:val="continue"/>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9" w:hRule="atLeast"/>
        </w:trPr>
        <w:tc>
          <w:tcPr>
            <w:tcW w:w="709" w:type="dxa"/>
            <w:vMerge w:val="continue"/>
            <w:tcBorders>
              <w:left w:val="single" w:color="auto" w:sz="4" w:space="0"/>
              <w:right w:val="single" w:color="auto" w:sz="4" w:space="0"/>
            </w:tcBorders>
            <w:noWrap w:val="0"/>
            <w:vAlign w:val="center"/>
          </w:tcPr>
          <w:p>
            <w:pPr>
              <w:jc w:val="center"/>
              <w:rPr>
                <w:color w:val="auto"/>
                <w:szCs w:val="21"/>
                <w:highlight w:val="none"/>
              </w:rPr>
            </w:pPr>
          </w:p>
        </w:tc>
        <w:tc>
          <w:tcPr>
            <w:tcW w:w="1275" w:type="dxa"/>
            <w:gridSpan w:val="2"/>
            <w:vMerge w:val="continue"/>
            <w:tcBorders>
              <w:left w:val="single" w:color="auto" w:sz="4" w:space="0"/>
              <w:right w:val="single" w:color="auto" w:sz="4" w:space="0"/>
            </w:tcBorders>
            <w:noWrap w:val="0"/>
            <w:vAlign w:val="center"/>
          </w:tcPr>
          <w:p>
            <w:pPr>
              <w:jc w:val="left"/>
              <w:rPr>
                <w:color w:val="auto"/>
                <w:szCs w:val="21"/>
                <w:highlight w:val="none"/>
              </w:rPr>
            </w:pPr>
          </w:p>
        </w:tc>
        <w:tc>
          <w:tcPr>
            <w:tcW w:w="999" w:type="dxa"/>
            <w:vMerge w:val="continue"/>
            <w:tcBorders>
              <w:left w:val="single" w:color="auto" w:sz="4" w:space="0"/>
              <w:right w:val="single" w:color="auto" w:sz="4" w:space="0"/>
            </w:tcBorders>
            <w:noWrap w:val="0"/>
            <w:vAlign w:val="center"/>
          </w:tcPr>
          <w:p>
            <w:pPr>
              <w:jc w:val="left"/>
              <w:rPr>
                <w:color w:val="auto"/>
                <w:szCs w:val="21"/>
                <w:highlight w:val="none"/>
              </w:rPr>
            </w:pPr>
          </w:p>
        </w:tc>
        <w:tc>
          <w:tcPr>
            <w:tcW w:w="3995" w:type="dxa"/>
            <w:tcBorders>
              <w:top w:val="single" w:color="auto" w:sz="4" w:space="0"/>
              <w:left w:val="single" w:color="auto" w:sz="4" w:space="0"/>
              <w:right w:val="single" w:color="auto" w:sz="4" w:space="0"/>
            </w:tcBorders>
            <w:noWrap w:val="0"/>
            <w:vAlign w:val="center"/>
          </w:tcPr>
          <w:p>
            <w:pPr>
              <w:spacing w:line="300" w:lineRule="exact"/>
            </w:pPr>
            <w:r>
              <w:rPr>
                <w:rFonts w:hint="eastAsia"/>
                <w:lang w:val="en-US" w:eastAsia="zh-CN"/>
              </w:rPr>
              <w:t>专业工程师</w:t>
            </w:r>
            <w:r>
              <w:rPr>
                <w:rFonts w:hint="eastAsia"/>
              </w:rPr>
              <w:t>具有</w:t>
            </w:r>
            <w:r>
              <w:rPr>
                <w:rFonts w:hint="eastAsia"/>
                <w:color w:val="auto"/>
                <w:szCs w:val="21"/>
                <w:highlight w:val="none"/>
                <w:lang w:val="en-US" w:eastAsia="zh-CN"/>
              </w:rPr>
              <w:t>一级造价工程师（或</w:t>
            </w:r>
            <w:r>
              <w:rPr>
                <w:rFonts w:hint="eastAsia"/>
                <w:color w:val="auto"/>
                <w:szCs w:val="21"/>
                <w:highlight w:val="none"/>
              </w:rPr>
              <w:t>全国注册造价工程师</w:t>
            </w:r>
            <w:r>
              <w:rPr>
                <w:rFonts w:hint="eastAsia"/>
                <w:color w:val="auto"/>
                <w:szCs w:val="21"/>
                <w:highlight w:val="none"/>
                <w:lang w:eastAsia="zh-CN"/>
              </w:rPr>
              <w:t>）【</w:t>
            </w:r>
            <w:r>
              <w:rPr>
                <w:rFonts w:hint="eastAsia"/>
                <w:color w:val="auto"/>
                <w:szCs w:val="21"/>
                <w:highlight w:val="none"/>
                <w:lang w:val="en-US" w:eastAsia="zh-CN"/>
              </w:rPr>
              <w:t>土建】专业</w:t>
            </w:r>
            <w:r>
              <w:rPr>
                <w:rFonts w:hint="eastAsia"/>
                <w:color w:val="auto"/>
                <w:szCs w:val="21"/>
                <w:highlight w:val="none"/>
              </w:rPr>
              <w:t>资格</w:t>
            </w:r>
            <w:r>
              <w:rPr>
                <w:rFonts w:hint="eastAsia"/>
                <w:color w:val="auto"/>
                <w:szCs w:val="21"/>
                <w:highlight w:val="none"/>
                <w:lang w:val="en-US" w:eastAsia="zh-CN"/>
              </w:rPr>
              <w:t>3人得3分</w:t>
            </w:r>
            <w:r>
              <w:rPr>
                <w:rFonts w:hint="eastAsia"/>
              </w:rPr>
              <w:t>；具有</w:t>
            </w:r>
            <w:r>
              <w:rPr>
                <w:rFonts w:hint="eastAsia"/>
                <w:color w:val="auto"/>
                <w:szCs w:val="21"/>
                <w:highlight w:val="none"/>
                <w:lang w:val="en-US" w:eastAsia="zh-CN"/>
              </w:rPr>
              <w:t>一级造价工程师（或</w:t>
            </w:r>
            <w:r>
              <w:rPr>
                <w:rFonts w:hint="eastAsia"/>
                <w:color w:val="auto"/>
                <w:szCs w:val="21"/>
                <w:highlight w:val="none"/>
              </w:rPr>
              <w:t>全国注册造价工程师</w:t>
            </w:r>
            <w:r>
              <w:rPr>
                <w:rFonts w:hint="eastAsia"/>
                <w:color w:val="auto"/>
                <w:szCs w:val="21"/>
                <w:highlight w:val="none"/>
                <w:lang w:eastAsia="zh-CN"/>
              </w:rPr>
              <w:t>）【</w:t>
            </w:r>
            <w:r>
              <w:rPr>
                <w:rFonts w:hint="eastAsia"/>
                <w:color w:val="auto"/>
                <w:szCs w:val="21"/>
                <w:highlight w:val="none"/>
                <w:lang w:val="en-US" w:eastAsia="zh-CN"/>
              </w:rPr>
              <w:t>安装】专业</w:t>
            </w:r>
            <w:r>
              <w:rPr>
                <w:rFonts w:hint="eastAsia"/>
                <w:color w:val="auto"/>
                <w:szCs w:val="21"/>
                <w:highlight w:val="none"/>
              </w:rPr>
              <w:t>资格</w:t>
            </w:r>
            <w:r>
              <w:rPr>
                <w:rFonts w:hint="eastAsia"/>
                <w:color w:val="auto"/>
                <w:szCs w:val="21"/>
                <w:highlight w:val="none"/>
                <w:lang w:val="en-US" w:eastAsia="zh-CN"/>
              </w:rPr>
              <w:t>3人得3分</w:t>
            </w:r>
            <w:r>
              <w:rPr>
                <w:rFonts w:hint="eastAsia"/>
              </w:rPr>
              <w:t>；。</w:t>
            </w:r>
          </w:p>
          <w:p>
            <w:pPr>
              <w:spacing w:line="300" w:lineRule="exact"/>
              <w:rPr>
                <w:rFonts w:hint="default"/>
                <w:lang w:val="en-US"/>
              </w:rPr>
            </w:pPr>
            <w:r>
              <w:rPr>
                <w:rFonts w:hint="eastAsia"/>
              </w:rPr>
              <w:t>此项最多得</w:t>
            </w:r>
            <w:r>
              <w:rPr>
                <w:rFonts w:hint="eastAsia"/>
                <w:lang w:val="en-US" w:eastAsia="zh-CN"/>
              </w:rPr>
              <w:t>6</w:t>
            </w:r>
            <w:r>
              <w:rPr>
                <w:rFonts w:hint="eastAsia"/>
              </w:rPr>
              <w:t>分。</w:t>
            </w:r>
          </w:p>
        </w:tc>
        <w:tc>
          <w:tcPr>
            <w:tcW w:w="1102" w:type="dxa"/>
            <w:vMerge w:val="continue"/>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4</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jc w:val="left"/>
              <w:rPr>
                <w:color w:val="auto"/>
                <w:szCs w:val="21"/>
                <w:highlight w:val="none"/>
              </w:rPr>
            </w:pPr>
            <w:r>
              <w:rPr>
                <w:rFonts w:hint="eastAsia"/>
                <w:color w:val="auto"/>
                <w:szCs w:val="21"/>
                <w:highlight w:val="none"/>
              </w:rPr>
              <w:t>履约能力</w:t>
            </w:r>
            <w:r>
              <w:rPr>
                <w:rFonts w:hint="eastAsia"/>
                <w:color w:val="auto"/>
                <w:szCs w:val="21"/>
                <w:highlight w:val="none"/>
                <w:lang w:val="en-US" w:eastAsia="zh-CN"/>
              </w:rPr>
              <w:t>13</w:t>
            </w:r>
            <w:r>
              <w:rPr>
                <w:rFonts w:hint="eastAsia"/>
                <w:color w:val="auto"/>
                <w:szCs w:val="21"/>
                <w:highlight w:val="none"/>
              </w:rPr>
              <w:t>%</w:t>
            </w:r>
          </w:p>
        </w:tc>
        <w:tc>
          <w:tcPr>
            <w:tcW w:w="999"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eastAsia="宋体"/>
                <w:color w:val="auto"/>
                <w:szCs w:val="21"/>
                <w:highlight w:val="none"/>
                <w:lang w:val="en-US" w:eastAsia="zh-CN"/>
              </w:rPr>
            </w:pPr>
            <w:r>
              <w:rPr>
                <w:rFonts w:hint="eastAsia"/>
                <w:color w:val="auto"/>
                <w:szCs w:val="21"/>
                <w:highlight w:val="none"/>
                <w:lang w:val="en-US" w:eastAsia="zh-CN"/>
              </w:rPr>
              <w:t>13</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rFonts w:hint="eastAsia"/>
              </w:rPr>
            </w:pPr>
            <w:r>
              <w:rPr>
                <w:rFonts w:hint="eastAsia"/>
              </w:rPr>
              <w:t>201</w:t>
            </w:r>
            <w:r>
              <w:rPr>
                <w:rFonts w:hint="eastAsia"/>
                <w:lang w:val="en-US" w:eastAsia="zh-CN"/>
              </w:rPr>
              <w:t>8</w:t>
            </w:r>
            <w:r>
              <w:rPr>
                <w:rFonts w:hint="eastAsia"/>
              </w:rPr>
              <w:t>年以来完成</w:t>
            </w:r>
            <w:r>
              <w:rPr>
                <w:rFonts w:hint="eastAsia"/>
                <w:lang w:val="en-US" w:eastAsia="zh-CN"/>
              </w:rPr>
              <w:t>造价</w:t>
            </w:r>
            <w:r>
              <w:rPr>
                <w:rFonts w:hint="eastAsia"/>
              </w:rPr>
              <w:t>金额</w:t>
            </w:r>
            <w:r>
              <w:rPr>
                <w:rFonts w:hint="eastAsia"/>
                <w:lang w:val="en-US" w:eastAsia="zh-CN"/>
              </w:rPr>
              <w:t>5000万元</w:t>
            </w:r>
            <w:r>
              <w:rPr>
                <w:rFonts w:hint="eastAsia"/>
              </w:rPr>
              <w:t>（含</w:t>
            </w:r>
            <w:r>
              <w:rPr>
                <w:rFonts w:hint="eastAsia"/>
                <w:lang w:val="en-US" w:eastAsia="zh-CN"/>
              </w:rPr>
              <w:t>5000万元</w:t>
            </w:r>
            <w:r>
              <w:rPr>
                <w:rFonts w:hint="eastAsia"/>
              </w:rPr>
              <w:t>）及以上</w:t>
            </w:r>
            <w:r>
              <w:rPr>
                <w:rFonts w:hint="eastAsia"/>
                <w:lang w:val="en-US" w:eastAsia="zh-CN"/>
              </w:rPr>
              <w:t>房屋建筑工程清单</w:t>
            </w:r>
            <w:r>
              <w:rPr>
                <w:rFonts w:hint="eastAsia"/>
              </w:rPr>
              <w:t>控制价</w:t>
            </w:r>
            <w:r>
              <w:rPr>
                <w:rFonts w:hint="eastAsia"/>
                <w:lang w:val="en-US" w:eastAsia="zh-CN"/>
              </w:rPr>
              <w:t>编制或招标控制</w:t>
            </w:r>
            <w:r>
              <w:rPr>
                <w:rFonts w:hint="eastAsia"/>
              </w:rPr>
              <w:t>评审</w:t>
            </w:r>
            <w:r>
              <w:rPr>
                <w:rFonts w:hint="eastAsia"/>
                <w:lang w:val="en-US" w:eastAsia="zh-CN"/>
              </w:rPr>
              <w:t>或施工图预算价评审或结算审核业绩</w:t>
            </w:r>
            <w:r>
              <w:rPr>
                <w:rFonts w:hint="eastAsia"/>
              </w:rPr>
              <w:t>，每有1个得</w:t>
            </w:r>
            <w:r>
              <w:rPr>
                <w:rFonts w:hint="eastAsia"/>
                <w:lang w:val="en-US" w:eastAsia="zh-CN"/>
              </w:rPr>
              <w:t>1</w:t>
            </w:r>
            <w:r>
              <w:rPr>
                <w:rFonts w:hint="eastAsia"/>
              </w:rPr>
              <w:t>分，最高得</w:t>
            </w:r>
            <w:r>
              <w:rPr>
                <w:rFonts w:hint="eastAsia"/>
                <w:lang w:val="en-US" w:eastAsia="zh-CN"/>
              </w:rPr>
              <w:t>13</w:t>
            </w:r>
            <w:r>
              <w:rPr>
                <w:rFonts w:hint="eastAsia"/>
              </w:rPr>
              <w:t>分。</w:t>
            </w:r>
          </w:p>
          <w:p>
            <w:pPr>
              <w:pStyle w:val="2"/>
              <w:rPr>
                <w:rFonts w:hint="eastAsia" w:ascii="Calibri" w:hAnsi="Calibri" w:eastAsia="宋体" w:cs="Times New Roman"/>
                <w:color w:val="auto"/>
                <w:kern w:val="2"/>
                <w:sz w:val="21"/>
                <w:szCs w:val="21"/>
                <w:highlight w:val="none"/>
                <w:lang w:val="en-US" w:eastAsia="zh-CN" w:bidi="ar-SA"/>
              </w:rPr>
            </w:pPr>
            <w:r>
              <w:rPr>
                <w:rFonts w:hint="eastAsia" w:ascii="Calibri" w:hAnsi="Calibri" w:eastAsia="宋体" w:cs="Times New Roman"/>
                <w:color w:val="auto"/>
                <w:kern w:val="2"/>
                <w:sz w:val="21"/>
                <w:szCs w:val="21"/>
                <w:highlight w:val="none"/>
                <w:lang w:val="en-US" w:eastAsia="zh-CN" w:bidi="ar-SA"/>
              </w:rPr>
              <w:t>注：业绩证明材料须为：</w:t>
            </w:r>
          </w:p>
          <w:p>
            <w:pPr>
              <w:pStyle w:val="2"/>
              <w:numPr>
                <w:ilvl w:val="0"/>
                <w:numId w:val="4"/>
              </w:numPr>
              <w:rPr>
                <w:rFonts w:hint="eastAsia" w:ascii="Calibri" w:hAnsi="Calibri" w:eastAsia="宋体" w:cs="Times New Roman"/>
                <w:color w:val="auto"/>
                <w:kern w:val="2"/>
                <w:sz w:val="21"/>
                <w:szCs w:val="21"/>
                <w:highlight w:val="none"/>
                <w:lang w:val="en-US" w:eastAsia="zh-CN" w:bidi="ar-SA"/>
              </w:rPr>
            </w:pPr>
            <w:r>
              <w:rPr>
                <w:rFonts w:hint="eastAsia" w:ascii="Calibri" w:hAnsi="Calibri" w:eastAsia="宋体" w:cs="Times New Roman"/>
                <w:color w:val="auto"/>
                <w:kern w:val="2"/>
                <w:sz w:val="21"/>
                <w:szCs w:val="21"/>
                <w:highlight w:val="none"/>
                <w:lang w:val="en-US" w:eastAsia="zh-CN" w:bidi="ar-SA"/>
              </w:rPr>
              <w:t>造价咨询合同或中标&lt;选&gt;通知书或造价咨询服务委托书等证明文件的复印件；2、业绩时间清单控制价编制以编制成果文件时间为准，招标控制价评审或施工图预算评审或结算审核以定案表签署最早时间为准；</w:t>
            </w:r>
          </w:p>
          <w:p>
            <w:pPr>
              <w:pStyle w:val="2"/>
              <w:numPr>
                <w:ilvl w:val="0"/>
                <w:numId w:val="0"/>
              </w:numPr>
            </w:pPr>
            <w:r>
              <w:rPr>
                <w:rFonts w:hint="eastAsia" w:ascii="Calibri" w:hAnsi="Calibri" w:eastAsia="宋体" w:cs="Times New Roman"/>
                <w:color w:val="auto"/>
                <w:kern w:val="2"/>
                <w:sz w:val="21"/>
                <w:szCs w:val="21"/>
                <w:highlight w:val="none"/>
                <w:lang w:val="en-US" w:eastAsia="zh-CN" w:bidi="ar-SA"/>
              </w:rPr>
              <w:t>3、清单控制价编制以控制价金额为准，招标控制价评审或施工图预算评审或结算审核以送审金额为准。</w:t>
            </w:r>
          </w:p>
        </w:tc>
        <w:tc>
          <w:tcPr>
            <w:tcW w:w="1102"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color w:val="auto"/>
                <w:szCs w:val="21"/>
                <w:highlight w:val="none"/>
              </w:rPr>
              <w:t>以上业绩证明材料均需加盖比选申请人公章，原件备查。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 w:hRule="atLeast"/>
        </w:trPr>
        <w:tc>
          <w:tcPr>
            <w:tcW w:w="709" w:type="dxa"/>
            <w:vMerge w:val="restart"/>
            <w:tcBorders>
              <w:left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5</w:t>
            </w:r>
          </w:p>
        </w:tc>
        <w:tc>
          <w:tcPr>
            <w:tcW w:w="567" w:type="dxa"/>
            <w:vMerge w:val="restart"/>
            <w:tcBorders>
              <w:left w:val="single" w:color="auto" w:sz="4" w:space="0"/>
              <w:right w:val="single" w:color="auto" w:sz="4" w:space="0"/>
            </w:tcBorders>
            <w:noWrap w:val="0"/>
            <w:vAlign w:val="top"/>
          </w:tcPr>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p>
          <w:p>
            <w:pPr>
              <w:jc w:val="left"/>
              <w:rPr>
                <w:color w:val="auto"/>
                <w:szCs w:val="21"/>
                <w:highlight w:val="none"/>
              </w:rPr>
            </w:pPr>
            <w:r>
              <w:rPr>
                <w:rFonts w:hint="eastAsia"/>
                <w:color w:val="auto"/>
                <w:szCs w:val="21"/>
                <w:highlight w:val="none"/>
              </w:rPr>
              <w:t>项目实施方案30%</w:t>
            </w:r>
          </w:p>
        </w:tc>
        <w:tc>
          <w:tcPr>
            <w:tcW w:w="708" w:type="dxa"/>
            <w:tcBorders>
              <w:left w:val="single" w:color="auto" w:sz="4" w:space="0"/>
              <w:right w:val="single" w:color="auto" w:sz="4" w:space="0"/>
            </w:tcBorders>
            <w:noWrap w:val="0"/>
            <w:vAlign w:val="center"/>
          </w:tcPr>
          <w:p>
            <w:pPr>
              <w:jc w:val="left"/>
              <w:rPr>
                <w:color w:val="auto"/>
                <w:szCs w:val="21"/>
                <w:highlight w:val="none"/>
              </w:rPr>
            </w:pPr>
            <w:r>
              <w:rPr>
                <w:rFonts w:hint="eastAsia"/>
                <w:color w:val="auto"/>
                <w:szCs w:val="21"/>
                <w:highlight w:val="none"/>
              </w:rPr>
              <w:t>实施内容及其保障措施</w:t>
            </w:r>
          </w:p>
        </w:tc>
        <w:tc>
          <w:tcPr>
            <w:tcW w:w="999" w:type="dxa"/>
            <w:tcBorders>
              <w:left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10</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color w:val="auto"/>
                <w:szCs w:val="21"/>
                <w:highlight w:val="none"/>
              </w:rPr>
              <w:t>项目实施方案具有针对性、重点突出、具备可操作性、要素齐全、措施具体、详尽合理、方案完整（至少包括 1. 本项目</w:t>
            </w:r>
            <w:r>
              <w:rPr>
                <w:rFonts w:hint="eastAsia"/>
                <w:color w:val="auto"/>
                <w:szCs w:val="21"/>
                <w:highlight w:val="none"/>
                <w:lang w:val="en-US" w:eastAsia="zh-CN"/>
              </w:rPr>
              <w:t>情况分析</w:t>
            </w:r>
            <w:r>
              <w:rPr>
                <w:rFonts w:hint="eastAsia"/>
                <w:color w:val="auto"/>
                <w:szCs w:val="21"/>
                <w:highlight w:val="none"/>
              </w:rPr>
              <w:t>；2.</w:t>
            </w:r>
            <w:r>
              <w:rPr>
                <w:color w:val="auto"/>
                <w:szCs w:val="21"/>
                <w:highlight w:val="none"/>
              </w:rPr>
              <w:t xml:space="preserve"> 本项目</w:t>
            </w:r>
            <w:r>
              <w:rPr>
                <w:rFonts w:hint="eastAsia"/>
                <w:color w:val="auto"/>
                <w:szCs w:val="21"/>
                <w:highlight w:val="none"/>
              </w:rPr>
              <w:t>服务目标及保障措施；每具有一项得3分，最多得6分。在此基础上，方案中存在缺陷或不足，且不利于项目实施，每有一处扣2分，扣完为止。</w:t>
            </w:r>
          </w:p>
          <w:p>
            <w:pPr>
              <w:spacing w:line="300" w:lineRule="exact"/>
              <w:jc w:val="left"/>
              <w:rPr>
                <w:color w:val="auto"/>
                <w:szCs w:val="21"/>
                <w:highlight w:val="none"/>
              </w:rPr>
            </w:pPr>
            <w:r>
              <w:rPr>
                <w:rFonts w:hint="eastAsia"/>
                <w:color w:val="auto"/>
                <w:szCs w:val="21"/>
                <w:highlight w:val="none"/>
              </w:rPr>
              <w:t>供应商</w:t>
            </w:r>
            <w:r>
              <w:rPr>
                <w:color w:val="auto"/>
                <w:szCs w:val="21"/>
                <w:highlight w:val="none"/>
              </w:rPr>
              <w:t>提供的方案中</w:t>
            </w:r>
            <w:r>
              <w:rPr>
                <w:rFonts w:hint="eastAsia"/>
                <w:color w:val="auto"/>
                <w:szCs w:val="21"/>
                <w:highlight w:val="none"/>
              </w:rPr>
              <w:t>有超出以上要求内容且</w:t>
            </w:r>
            <w:r>
              <w:rPr>
                <w:color w:val="auto"/>
                <w:szCs w:val="21"/>
                <w:highlight w:val="none"/>
              </w:rPr>
              <w:t>有利于项目实施的，每有一项加2</w:t>
            </w:r>
            <w:r>
              <w:rPr>
                <w:rFonts w:hint="eastAsia"/>
                <w:color w:val="auto"/>
                <w:szCs w:val="21"/>
                <w:highlight w:val="none"/>
              </w:rPr>
              <w:t>分</w:t>
            </w:r>
            <w:r>
              <w:rPr>
                <w:color w:val="auto"/>
                <w:szCs w:val="21"/>
                <w:highlight w:val="none"/>
              </w:rPr>
              <w:t>，最多加</w:t>
            </w:r>
            <w:r>
              <w:rPr>
                <w:rFonts w:hint="eastAsia"/>
                <w:color w:val="auto"/>
                <w:szCs w:val="21"/>
                <w:highlight w:val="none"/>
              </w:rPr>
              <w:t>4分</w:t>
            </w:r>
            <w:r>
              <w:rPr>
                <w:color w:val="auto"/>
                <w:szCs w:val="21"/>
                <w:highlight w:val="none"/>
              </w:rPr>
              <w:t>。</w:t>
            </w:r>
          </w:p>
        </w:tc>
        <w:tc>
          <w:tcPr>
            <w:tcW w:w="1102" w:type="dxa"/>
            <w:vMerge w:val="restart"/>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 w:hRule="atLeast"/>
        </w:trPr>
        <w:tc>
          <w:tcPr>
            <w:tcW w:w="709" w:type="dxa"/>
            <w:vMerge w:val="continue"/>
            <w:tcBorders>
              <w:left w:val="single" w:color="auto" w:sz="4" w:space="0"/>
              <w:right w:val="single" w:color="auto" w:sz="4" w:space="0"/>
            </w:tcBorders>
            <w:noWrap w:val="0"/>
            <w:vAlign w:val="center"/>
          </w:tcPr>
          <w:p>
            <w:pPr>
              <w:jc w:val="center"/>
              <w:rPr>
                <w:color w:val="auto"/>
                <w:szCs w:val="21"/>
                <w:highlight w:val="none"/>
              </w:rPr>
            </w:pPr>
          </w:p>
        </w:tc>
        <w:tc>
          <w:tcPr>
            <w:tcW w:w="567" w:type="dxa"/>
            <w:vMerge w:val="continue"/>
            <w:tcBorders>
              <w:left w:val="single" w:color="auto" w:sz="4" w:space="0"/>
              <w:right w:val="single" w:color="auto" w:sz="4" w:space="0"/>
            </w:tcBorders>
            <w:noWrap w:val="0"/>
            <w:vAlign w:val="top"/>
          </w:tcPr>
          <w:p>
            <w:pPr>
              <w:jc w:val="left"/>
              <w:rPr>
                <w:color w:val="auto"/>
                <w:szCs w:val="21"/>
                <w:highlight w:val="none"/>
              </w:rPr>
            </w:pPr>
          </w:p>
        </w:tc>
        <w:tc>
          <w:tcPr>
            <w:tcW w:w="708" w:type="dxa"/>
            <w:tcBorders>
              <w:left w:val="single" w:color="auto" w:sz="4" w:space="0"/>
              <w:right w:val="single" w:color="auto" w:sz="4" w:space="0"/>
            </w:tcBorders>
            <w:noWrap w:val="0"/>
            <w:vAlign w:val="center"/>
          </w:tcPr>
          <w:p>
            <w:pPr>
              <w:jc w:val="left"/>
              <w:rPr>
                <w:color w:val="auto"/>
                <w:szCs w:val="21"/>
                <w:highlight w:val="none"/>
              </w:rPr>
            </w:pPr>
            <w:r>
              <w:rPr>
                <w:rFonts w:hint="eastAsia"/>
                <w:color w:val="auto"/>
                <w:szCs w:val="21"/>
                <w:highlight w:val="none"/>
              </w:rPr>
              <w:t>工作进度计划及其保障措施</w:t>
            </w:r>
          </w:p>
        </w:tc>
        <w:tc>
          <w:tcPr>
            <w:tcW w:w="999" w:type="dxa"/>
            <w:tcBorders>
              <w:left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10</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color w:val="auto"/>
                <w:szCs w:val="21"/>
                <w:highlight w:val="none"/>
                <w:lang w:val="en-US" w:eastAsia="zh-CN"/>
              </w:rPr>
              <w:t>比选申请人</w:t>
            </w:r>
            <w:r>
              <w:rPr>
                <w:rFonts w:hint="eastAsia"/>
                <w:color w:val="auto"/>
                <w:szCs w:val="21"/>
                <w:highlight w:val="none"/>
              </w:rPr>
              <w:t>结合</w:t>
            </w:r>
            <w:r>
              <w:rPr>
                <w:color w:val="auto"/>
                <w:szCs w:val="21"/>
                <w:highlight w:val="none"/>
              </w:rPr>
              <w:t>本项目实际情况</w:t>
            </w:r>
            <w:r>
              <w:rPr>
                <w:rFonts w:hint="eastAsia"/>
                <w:color w:val="auto"/>
                <w:szCs w:val="21"/>
                <w:highlight w:val="none"/>
              </w:rPr>
              <w:t>，</w:t>
            </w:r>
            <w:r>
              <w:rPr>
                <w:color w:val="auto"/>
                <w:szCs w:val="21"/>
                <w:highlight w:val="none"/>
              </w:rPr>
              <w:t>提供</w:t>
            </w:r>
            <w:r>
              <w:rPr>
                <w:rFonts w:hint="eastAsia"/>
                <w:color w:val="auto"/>
                <w:szCs w:val="21"/>
                <w:highlight w:val="none"/>
              </w:rPr>
              <w:t>工作进度计划及其保障措施（至少包括 1.工作进度计划 2</w:t>
            </w:r>
            <w:r>
              <w:rPr>
                <w:color w:val="auto"/>
                <w:szCs w:val="21"/>
                <w:highlight w:val="none"/>
              </w:rPr>
              <w:t>.</w:t>
            </w:r>
            <w:r>
              <w:rPr>
                <w:rFonts w:hint="eastAsia"/>
                <w:color w:val="auto"/>
                <w:szCs w:val="21"/>
                <w:highlight w:val="none"/>
              </w:rPr>
              <w:t>进度保障措施等）的，每具有一项得3分，最多得6分。在此基础上，方案中存在缺陷或不足，且不利于项目实施，每有一处扣2分，扣完为止。</w:t>
            </w:r>
          </w:p>
          <w:p>
            <w:pPr>
              <w:spacing w:line="300" w:lineRule="exact"/>
              <w:jc w:val="left"/>
              <w:rPr>
                <w:color w:val="auto"/>
                <w:szCs w:val="21"/>
                <w:highlight w:val="none"/>
              </w:rPr>
            </w:pPr>
            <w:r>
              <w:rPr>
                <w:rFonts w:hint="eastAsia"/>
                <w:color w:val="auto"/>
                <w:szCs w:val="21"/>
                <w:highlight w:val="none"/>
              </w:rPr>
              <w:t>供应商</w:t>
            </w:r>
            <w:r>
              <w:rPr>
                <w:color w:val="auto"/>
                <w:szCs w:val="21"/>
                <w:highlight w:val="none"/>
              </w:rPr>
              <w:t>提供的方案中</w:t>
            </w:r>
            <w:r>
              <w:rPr>
                <w:rFonts w:hint="eastAsia"/>
                <w:color w:val="auto"/>
                <w:szCs w:val="21"/>
                <w:highlight w:val="none"/>
              </w:rPr>
              <w:t>有超出以上要求内容且</w:t>
            </w:r>
            <w:r>
              <w:rPr>
                <w:color w:val="auto"/>
                <w:szCs w:val="21"/>
                <w:highlight w:val="none"/>
              </w:rPr>
              <w:t>有利于项目实施的，每有一项加2</w:t>
            </w:r>
            <w:r>
              <w:rPr>
                <w:rFonts w:hint="eastAsia"/>
                <w:color w:val="auto"/>
                <w:szCs w:val="21"/>
                <w:highlight w:val="none"/>
              </w:rPr>
              <w:t>分</w:t>
            </w:r>
            <w:r>
              <w:rPr>
                <w:color w:val="auto"/>
                <w:szCs w:val="21"/>
                <w:highlight w:val="none"/>
              </w:rPr>
              <w:t>，最多加4</w:t>
            </w:r>
            <w:r>
              <w:rPr>
                <w:rFonts w:hint="eastAsia"/>
                <w:color w:val="auto"/>
                <w:szCs w:val="21"/>
                <w:highlight w:val="none"/>
              </w:rPr>
              <w:t>分</w:t>
            </w:r>
            <w:r>
              <w:rPr>
                <w:color w:val="auto"/>
                <w:szCs w:val="21"/>
                <w:highlight w:val="none"/>
              </w:rPr>
              <w:t>。</w:t>
            </w:r>
          </w:p>
        </w:tc>
        <w:tc>
          <w:tcPr>
            <w:tcW w:w="1102" w:type="dxa"/>
            <w:vMerge w:val="continue"/>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 w:hRule="atLeast"/>
        </w:trPr>
        <w:tc>
          <w:tcPr>
            <w:tcW w:w="709" w:type="dxa"/>
            <w:vMerge w:val="continue"/>
            <w:tcBorders>
              <w:left w:val="single" w:color="auto" w:sz="4" w:space="0"/>
              <w:right w:val="single" w:color="auto" w:sz="4" w:space="0"/>
            </w:tcBorders>
            <w:noWrap w:val="0"/>
            <w:vAlign w:val="center"/>
          </w:tcPr>
          <w:p>
            <w:pPr>
              <w:jc w:val="center"/>
              <w:rPr>
                <w:color w:val="auto"/>
                <w:szCs w:val="21"/>
                <w:highlight w:val="none"/>
              </w:rPr>
            </w:pPr>
          </w:p>
        </w:tc>
        <w:tc>
          <w:tcPr>
            <w:tcW w:w="567" w:type="dxa"/>
            <w:vMerge w:val="continue"/>
            <w:tcBorders>
              <w:left w:val="single" w:color="auto" w:sz="4" w:space="0"/>
              <w:right w:val="single" w:color="auto" w:sz="4" w:space="0"/>
            </w:tcBorders>
            <w:noWrap w:val="0"/>
            <w:vAlign w:val="top"/>
          </w:tcPr>
          <w:p>
            <w:pPr>
              <w:jc w:val="left"/>
              <w:rPr>
                <w:color w:val="auto"/>
                <w:szCs w:val="21"/>
                <w:highlight w:val="none"/>
              </w:rPr>
            </w:pPr>
          </w:p>
        </w:tc>
        <w:tc>
          <w:tcPr>
            <w:tcW w:w="708" w:type="dxa"/>
            <w:tcBorders>
              <w:left w:val="single" w:color="auto" w:sz="4" w:space="0"/>
              <w:right w:val="single" w:color="auto" w:sz="4" w:space="0"/>
            </w:tcBorders>
            <w:noWrap w:val="0"/>
            <w:vAlign w:val="center"/>
          </w:tcPr>
          <w:p>
            <w:pPr>
              <w:jc w:val="left"/>
              <w:rPr>
                <w:color w:val="auto"/>
                <w:szCs w:val="21"/>
                <w:highlight w:val="none"/>
              </w:rPr>
            </w:pPr>
            <w:r>
              <w:rPr>
                <w:rFonts w:hint="eastAsia"/>
                <w:color w:val="auto"/>
                <w:szCs w:val="21"/>
                <w:highlight w:val="none"/>
              </w:rPr>
              <w:t>质量保证体系和控制措施</w:t>
            </w:r>
          </w:p>
        </w:tc>
        <w:tc>
          <w:tcPr>
            <w:tcW w:w="999" w:type="dxa"/>
            <w:tcBorders>
              <w:left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10</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color w:val="auto"/>
                <w:szCs w:val="21"/>
                <w:highlight w:val="none"/>
                <w:lang w:val="en-US" w:eastAsia="zh-CN"/>
              </w:rPr>
              <w:t>比选申请人</w:t>
            </w:r>
            <w:r>
              <w:rPr>
                <w:rFonts w:hint="eastAsia"/>
                <w:color w:val="auto"/>
                <w:szCs w:val="21"/>
                <w:highlight w:val="none"/>
              </w:rPr>
              <w:t>结合</w:t>
            </w:r>
            <w:r>
              <w:rPr>
                <w:color w:val="auto"/>
                <w:szCs w:val="21"/>
                <w:highlight w:val="none"/>
              </w:rPr>
              <w:t>本项目实际情况</w:t>
            </w:r>
            <w:r>
              <w:rPr>
                <w:rFonts w:hint="eastAsia"/>
                <w:color w:val="auto"/>
                <w:szCs w:val="21"/>
                <w:highlight w:val="none"/>
              </w:rPr>
              <w:t>，</w:t>
            </w:r>
            <w:r>
              <w:rPr>
                <w:color w:val="auto"/>
                <w:szCs w:val="21"/>
                <w:highlight w:val="none"/>
              </w:rPr>
              <w:t>提供</w:t>
            </w:r>
            <w:r>
              <w:rPr>
                <w:rFonts w:hint="eastAsia"/>
                <w:color w:val="auto"/>
                <w:szCs w:val="21"/>
                <w:highlight w:val="none"/>
              </w:rPr>
              <w:t>质量保障措施（至少包括 1.</w:t>
            </w:r>
            <w:r>
              <w:rPr>
                <w:color w:val="auto"/>
                <w:szCs w:val="21"/>
                <w:highlight w:val="none"/>
              </w:rPr>
              <w:t>质量目标</w:t>
            </w:r>
            <w:r>
              <w:rPr>
                <w:rFonts w:hint="eastAsia"/>
                <w:color w:val="auto"/>
                <w:szCs w:val="21"/>
                <w:highlight w:val="none"/>
              </w:rPr>
              <w:t xml:space="preserve"> 2</w:t>
            </w:r>
            <w:r>
              <w:rPr>
                <w:color w:val="auto"/>
                <w:szCs w:val="21"/>
                <w:highlight w:val="none"/>
              </w:rPr>
              <w:t>.</w:t>
            </w:r>
            <w:r>
              <w:rPr>
                <w:rFonts w:hint="eastAsia"/>
                <w:color w:val="auto"/>
                <w:szCs w:val="21"/>
                <w:highlight w:val="none"/>
              </w:rPr>
              <w:t xml:space="preserve">质量保障体系 </w:t>
            </w:r>
            <w:r>
              <w:rPr>
                <w:color w:val="auto"/>
                <w:szCs w:val="21"/>
                <w:highlight w:val="none"/>
              </w:rPr>
              <w:t>3.</w:t>
            </w:r>
            <w:r>
              <w:rPr>
                <w:rFonts w:hint="eastAsia"/>
                <w:color w:val="auto"/>
                <w:szCs w:val="21"/>
                <w:highlight w:val="none"/>
              </w:rPr>
              <w:t>质量保障措施等）的，每具有一项得</w:t>
            </w:r>
            <w:r>
              <w:rPr>
                <w:color w:val="auto"/>
                <w:szCs w:val="21"/>
                <w:highlight w:val="none"/>
              </w:rPr>
              <w:t>2</w:t>
            </w:r>
            <w:r>
              <w:rPr>
                <w:rFonts w:hint="eastAsia"/>
                <w:color w:val="auto"/>
                <w:szCs w:val="21"/>
                <w:highlight w:val="none"/>
              </w:rPr>
              <w:t>分，最多得</w:t>
            </w:r>
            <w:r>
              <w:rPr>
                <w:color w:val="auto"/>
                <w:szCs w:val="21"/>
                <w:highlight w:val="none"/>
              </w:rPr>
              <w:t>6</w:t>
            </w:r>
            <w:r>
              <w:rPr>
                <w:rFonts w:hint="eastAsia"/>
                <w:color w:val="auto"/>
                <w:szCs w:val="21"/>
                <w:highlight w:val="none"/>
              </w:rPr>
              <w:t>分。在此基础上，方案中存在缺陷或不足，且不利于项目实施的，每有一处扣</w:t>
            </w:r>
            <w:r>
              <w:rPr>
                <w:color w:val="auto"/>
                <w:szCs w:val="21"/>
                <w:highlight w:val="none"/>
              </w:rPr>
              <w:t>2</w:t>
            </w:r>
            <w:r>
              <w:rPr>
                <w:rFonts w:hint="eastAsia"/>
                <w:color w:val="auto"/>
                <w:szCs w:val="21"/>
                <w:highlight w:val="none"/>
              </w:rPr>
              <w:t>分，扣完为止。</w:t>
            </w:r>
          </w:p>
          <w:p>
            <w:pPr>
              <w:spacing w:line="300" w:lineRule="exact"/>
              <w:jc w:val="left"/>
              <w:rPr>
                <w:color w:val="auto"/>
                <w:szCs w:val="21"/>
                <w:highlight w:val="none"/>
              </w:rPr>
            </w:pPr>
            <w:r>
              <w:rPr>
                <w:rFonts w:hint="eastAsia"/>
                <w:color w:val="auto"/>
                <w:szCs w:val="21"/>
                <w:highlight w:val="none"/>
              </w:rPr>
              <w:t>供应商</w:t>
            </w:r>
            <w:r>
              <w:rPr>
                <w:color w:val="auto"/>
                <w:szCs w:val="21"/>
                <w:highlight w:val="none"/>
              </w:rPr>
              <w:t>提供的方案中</w:t>
            </w:r>
            <w:r>
              <w:rPr>
                <w:rFonts w:hint="eastAsia"/>
                <w:color w:val="auto"/>
                <w:szCs w:val="21"/>
                <w:highlight w:val="none"/>
              </w:rPr>
              <w:t>有超出以上要求内容且</w:t>
            </w:r>
            <w:r>
              <w:rPr>
                <w:color w:val="auto"/>
                <w:szCs w:val="21"/>
                <w:highlight w:val="none"/>
              </w:rPr>
              <w:t>有利于项目实施的，每有一项加2</w:t>
            </w:r>
            <w:r>
              <w:rPr>
                <w:rFonts w:hint="eastAsia"/>
                <w:color w:val="auto"/>
                <w:szCs w:val="21"/>
                <w:highlight w:val="none"/>
              </w:rPr>
              <w:t>分</w:t>
            </w:r>
            <w:r>
              <w:rPr>
                <w:color w:val="auto"/>
                <w:szCs w:val="21"/>
                <w:highlight w:val="none"/>
              </w:rPr>
              <w:t>，最多加</w:t>
            </w:r>
            <w:r>
              <w:rPr>
                <w:rFonts w:hint="eastAsia"/>
                <w:color w:val="auto"/>
                <w:szCs w:val="21"/>
                <w:highlight w:val="none"/>
              </w:rPr>
              <w:t>4分</w:t>
            </w:r>
            <w:r>
              <w:rPr>
                <w:color w:val="auto"/>
                <w:szCs w:val="21"/>
                <w:highlight w:val="none"/>
              </w:rPr>
              <w:t>。</w:t>
            </w:r>
          </w:p>
        </w:tc>
        <w:tc>
          <w:tcPr>
            <w:tcW w:w="1102" w:type="dxa"/>
            <w:vMerge w:val="continue"/>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95" w:hRule="atLeast"/>
        </w:trPr>
        <w:tc>
          <w:tcPr>
            <w:tcW w:w="709" w:type="dxa"/>
            <w:tcBorders>
              <w:left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6</w:t>
            </w:r>
          </w:p>
        </w:tc>
        <w:tc>
          <w:tcPr>
            <w:tcW w:w="1275" w:type="dxa"/>
            <w:gridSpan w:val="2"/>
            <w:tcBorders>
              <w:left w:val="single" w:color="auto" w:sz="4" w:space="0"/>
              <w:right w:val="single" w:color="auto" w:sz="4" w:space="0"/>
            </w:tcBorders>
            <w:noWrap w:val="0"/>
            <w:vAlign w:val="center"/>
          </w:tcPr>
          <w:p>
            <w:pPr>
              <w:jc w:val="center"/>
              <w:rPr>
                <w:color w:val="auto"/>
                <w:szCs w:val="21"/>
                <w:highlight w:val="none"/>
              </w:rPr>
            </w:pPr>
          </w:p>
          <w:p>
            <w:pPr>
              <w:jc w:val="center"/>
              <w:rPr>
                <w:color w:val="auto"/>
                <w:szCs w:val="21"/>
                <w:highlight w:val="none"/>
              </w:rPr>
            </w:pPr>
          </w:p>
          <w:p>
            <w:pPr>
              <w:jc w:val="center"/>
              <w:rPr>
                <w:color w:val="auto"/>
                <w:szCs w:val="21"/>
                <w:highlight w:val="none"/>
              </w:rPr>
            </w:pPr>
            <w:r>
              <w:rPr>
                <w:rFonts w:hint="eastAsia"/>
                <w:color w:val="auto"/>
                <w:szCs w:val="21"/>
                <w:highlight w:val="none"/>
              </w:rPr>
              <w:t>内控管理制度</w:t>
            </w:r>
            <w:r>
              <w:rPr>
                <w:rFonts w:hint="eastAsia"/>
                <w:color w:val="auto"/>
                <w:szCs w:val="21"/>
                <w:highlight w:val="none"/>
                <w:lang w:val="en-US" w:eastAsia="zh-CN"/>
              </w:rPr>
              <w:t>5</w:t>
            </w:r>
            <w:r>
              <w:rPr>
                <w:rFonts w:hint="eastAsia"/>
                <w:color w:val="auto"/>
                <w:szCs w:val="21"/>
                <w:highlight w:val="none"/>
              </w:rPr>
              <w:t>%</w:t>
            </w:r>
          </w:p>
        </w:tc>
        <w:tc>
          <w:tcPr>
            <w:tcW w:w="999" w:type="dxa"/>
            <w:tcBorders>
              <w:left w:val="single" w:color="auto" w:sz="4" w:space="0"/>
              <w:right w:val="single" w:color="auto" w:sz="4" w:space="0"/>
            </w:tcBorders>
            <w:noWrap w:val="0"/>
            <w:vAlign w:val="center"/>
          </w:tcPr>
          <w:p>
            <w:pPr>
              <w:jc w:val="center"/>
              <w:rPr>
                <w:rFonts w:hint="eastAsia" w:eastAsia="宋体"/>
                <w:color w:val="auto"/>
                <w:szCs w:val="21"/>
                <w:highlight w:val="none"/>
                <w:lang w:eastAsia="zh-CN"/>
              </w:rPr>
            </w:pPr>
            <w:r>
              <w:rPr>
                <w:rFonts w:hint="eastAsia"/>
                <w:color w:val="auto"/>
                <w:szCs w:val="21"/>
                <w:highlight w:val="none"/>
                <w:lang w:val="en-US" w:eastAsia="zh-CN"/>
              </w:rPr>
              <w:t>5</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rFonts w:hint="eastAsia"/>
                <w:color w:val="auto"/>
                <w:szCs w:val="21"/>
                <w:highlight w:val="none"/>
              </w:rPr>
            </w:pPr>
            <w:r>
              <w:rPr>
                <w:rFonts w:hint="eastAsia"/>
                <w:color w:val="auto"/>
                <w:szCs w:val="21"/>
                <w:highlight w:val="none"/>
              </w:rPr>
              <w:t>内控制度包括：1、岗位责任制度；2、质量控制制度；3、风险管理制度；4、工作纪律及信息保密制度；5、服务质量回访制度。提供的内部质量管理控制制度包含以上内容，每一项内容得基本分</w:t>
            </w:r>
            <w:r>
              <w:rPr>
                <w:rFonts w:hint="eastAsia"/>
                <w:color w:val="auto"/>
                <w:szCs w:val="21"/>
                <w:highlight w:val="none"/>
                <w:lang w:val="en-US" w:eastAsia="zh-CN"/>
              </w:rPr>
              <w:t>1</w:t>
            </w:r>
            <w:r>
              <w:rPr>
                <w:rFonts w:hint="eastAsia"/>
                <w:color w:val="auto"/>
                <w:szCs w:val="21"/>
                <w:highlight w:val="none"/>
              </w:rPr>
              <w:t>分。此项最多得</w:t>
            </w:r>
            <w:r>
              <w:rPr>
                <w:rFonts w:hint="eastAsia"/>
                <w:color w:val="auto"/>
                <w:szCs w:val="21"/>
                <w:highlight w:val="none"/>
                <w:lang w:val="en-US" w:eastAsia="zh-CN"/>
              </w:rPr>
              <w:t>5</w:t>
            </w:r>
            <w:r>
              <w:rPr>
                <w:rFonts w:hint="eastAsia"/>
                <w:color w:val="auto"/>
                <w:szCs w:val="21"/>
                <w:highlight w:val="none"/>
              </w:rPr>
              <w:t>分。</w:t>
            </w:r>
          </w:p>
          <w:p>
            <w:pPr>
              <w:spacing w:line="300" w:lineRule="exact"/>
              <w:jc w:val="left"/>
              <w:rPr>
                <w:color w:val="auto"/>
                <w:szCs w:val="21"/>
                <w:highlight w:val="none"/>
              </w:rPr>
            </w:pPr>
            <w:r>
              <w:rPr>
                <w:rFonts w:hint="eastAsia"/>
                <w:color w:val="auto"/>
                <w:szCs w:val="21"/>
                <w:highlight w:val="none"/>
              </w:rPr>
              <w:t>注：以</w:t>
            </w:r>
            <w:r>
              <w:rPr>
                <w:rFonts w:hint="eastAsia"/>
                <w:color w:val="auto"/>
                <w:szCs w:val="21"/>
                <w:highlight w:val="none"/>
                <w:lang w:val="en-US" w:eastAsia="zh-CN"/>
              </w:rPr>
              <w:t>比选申请人</w:t>
            </w:r>
            <w:r>
              <w:rPr>
                <w:rFonts w:hint="eastAsia"/>
                <w:color w:val="auto"/>
                <w:szCs w:val="21"/>
                <w:highlight w:val="none"/>
              </w:rPr>
              <w:t>提供的内控制度为评定依据。</w:t>
            </w:r>
          </w:p>
        </w:tc>
        <w:tc>
          <w:tcPr>
            <w:tcW w:w="1102" w:type="dxa"/>
            <w:tcBorders>
              <w:left w:val="single" w:color="auto" w:sz="4" w:space="0"/>
              <w:right w:val="single" w:color="auto" w:sz="4" w:space="0"/>
            </w:tcBorders>
            <w:noWrap w:val="0"/>
            <w:vAlign w:val="center"/>
          </w:tcPr>
          <w:p>
            <w:pPr>
              <w:spacing w:line="300" w:lineRule="exact"/>
              <w:jc w:val="left"/>
              <w:rPr>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4" w:hRule="atLeast"/>
        </w:trPr>
        <w:tc>
          <w:tcPr>
            <w:tcW w:w="709" w:type="dxa"/>
            <w:tcBorders>
              <w:left w:val="single" w:color="auto" w:sz="4" w:space="0"/>
              <w:bottom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7</w:t>
            </w:r>
          </w:p>
        </w:tc>
        <w:tc>
          <w:tcPr>
            <w:tcW w:w="1275" w:type="dxa"/>
            <w:gridSpan w:val="2"/>
            <w:tcBorders>
              <w:left w:val="single" w:color="auto" w:sz="4" w:space="0"/>
              <w:bottom w:val="single" w:color="auto" w:sz="4" w:space="0"/>
              <w:right w:val="single" w:color="auto" w:sz="4" w:space="0"/>
            </w:tcBorders>
            <w:noWrap w:val="0"/>
            <w:vAlign w:val="top"/>
          </w:tcPr>
          <w:p>
            <w:pPr>
              <w:jc w:val="left"/>
              <w:rPr>
                <w:color w:val="auto"/>
                <w:szCs w:val="21"/>
                <w:highlight w:val="none"/>
              </w:rPr>
            </w:pPr>
            <w:r>
              <w:rPr>
                <w:rFonts w:hint="eastAsia"/>
                <w:color w:val="auto"/>
                <w:szCs w:val="21"/>
                <w:highlight w:val="none"/>
              </w:rPr>
              <w:t>投标文件规范性2%</w:t>
            </w:r>
          </w:p>
        </w:tc>
        <w:tc>
          <w:tcPr>
            <w:tcW w:w="999" w:type="dxa"/>
            <w:tcBorders>
              <w:left w:val="single" w:color="auto" w:sz="4" w:space="0"/>
              <w:bottom w:val="single" w:color="auto" w:sz="4" w:space="0"/>
              <w:right w:val="single" w:color="auto" w:sz="4" w:space="0"/>
            </w:tcBorders>
            <w:noWrap w:val="0"/>
            <w:vAlign w:val="center"/>
          </w:tcPr>
          <w:p>
            <w:pPr>
              <w:jc w:val="center"/>
              <w:rPr>
                <w:color w:val="auto"/>
                <w:szCs w:val="21"/>
                <w:highlight w:val="none"/>
              </w:rPr>
            </w:pPr>
            <w:r>
              <w:rPr>
                <w:rFonts w:hint="eastAsia"/>
                <w:color w:val="auto"/>
                <w:szCs w:val="21"/>
                <w:highlight w:val="none"/>
              </w:rPr>
              <w:t>2</w:t>
            </w:r>
          </w:p>
        </w:tc>
        <w:tc>
          <w:tcPr>
            <w:tcW w:w="399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r>
              <w:rPr>
                <w:rFonts w:hint="eastAsia" w:ascii="宋体" w:hAnsi="宋体"/>
                <w:color w:val="auto"/>
                <w:kern w:val="0"/>
                <w:szCs w:val="21"/>
                <w:highlight w:val="none"/>
              </w:rPr>
              <w:t>投标文件制作规范，基本分2分，有一项偏差的扣0.5分，直到该项分值扣完为止。</w:t>
            </w:r>
          </w:p>
        </w:tc>
        <w:tc>
          <w:tcPr>
            <w:tcW w:w="1102" w:type="dxa"/>
            <w:tcBorders>
              <w:left w:val="single" w:color="auto" w:sz="4" w:space="0"/>
              <w:bottom w:val="single" w:color="auto" w:sz="4" w:space="0"/>
              <w:right w:val="single" w:color="auto" w:sz="4" w:space="0"/>
            </w:tcBorders>
            <w:noWrap w:val="0"/>
            <w:vAlign w:val="center"/>
          </w:tcPr>
          <w:p>
            <w:pPr>
              <w:spacing w:line="300" w:lineRule="exact"/>
              <w:jc w:val="left"/>
              <w:rPr>
                <w:color w:val="auto"/>
                <w:szCs w:val="21"/>
                <w:highlight w:val="none"/>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E7026B"/>
    <w:multiLevelType w:val="singleLevel"/>
    <w:tmpl w:val="93E7026B"/>
    <w:lvl w:ilvl="0" w:tentative="0">
      <w:start w:val="2"/>
      <w:numFmt w:val="decimal"/>
      <w:suff w:val="nothing"/>
      <w:lvlText w:val="%1、"/>
      <w:lvlJc w:val="left"/>
    </w:lvl>
  </w:abstractNum>
  <w:abstractNum w:abstractNumId="1">
    <w:nsid w:val="A7D6A324"/>
    <w:multiLevelType w:val="singleLevel"/>
    <w:tmpl w:val="A7D6A324"/>
    <w:lvl w:ilvl="0" w:tentative="0">
      <w:start w:val="1"/>
      <w:numFmt w:val="decimal"/>
      <w:suff w:val="nothing"/>
      <w:lvlText w:val="%1、"/>
      <w:lvlJc w:val="left"/>
    </w:lvl>
  </w:abstractNum>
  <w:abstractNum w:abstractNumId="2">
    <w:nsid w:val="C882FD02"/>
    <w:multiLevelType w:val="singleLevel"/>
    <w:tmpl w:val="C882FD02"/>
    <w:lvl w:ilvl="0" w:tentative="0">
      <w:start w:val="1"/>
      <w:numFmt w:val="decimal"/>
      <w:suff w:val="nothing"/>
      <w:lvlText w:val="%1、"/>
      <w:lvlJc w:val="left"/>
    </w:lvl>
  </w:abstractNum>
  <w:abstractNum w:abstractNumId="3">
    <w:nsid w:val="4FA26237"/>
    <w:multiLevelType w:val="singleLevel"/>
    <w:tmpl w:val="4FA26237"/>
    <w:lvl w:ilvl="0" w:tentative="0">
      <w:start w:val="1"/>
      <w:numFmt w:val="decimal"/>
      <w:suff w:val="nothing"/>
      <w:lvlText w:val="%1、"/>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481240"/>
    <w:rsid w:val="000F0C2C"/>
    <w:rsid w:val="03CC3FB7"/>
    <w:rsid w:val="05453520"/>
    <w:rsid w:val="09924D1A"/>
    <w:rsid w:val="12BE245E"/>
    <w:rsid w:val="153B12F3"/>
    <w:rsid w:val="2758409D"/>
    <w:rsid w:val="28464D3D"/>
    <w:rsid w:val="2B9E51C2"/>
    <w:rsid w:val="33FF4B5E"/>
    <w:rsid w:val="36C238EF"/>
    <w:rsid w:val="36F84C5A"/>
    <w:rsid w:val="3AB022DC"/>
    <w:rsid w:val="3AD51692"/>
    <w:rsid w:val="45420A9D"/>
    <w:rsid w:val="47C90893"/>
    <w:rsid w:val="4C78235F"/>
    <w:rsid w:val="53487259"/>
    <w:rsid w:val="58935D30"/>
    <w:rsid w:val="609B320E"/>
    <w:rsid w:val="62327852"/>
    <w:rsid w:val="62481240"/>
    <w:rsid w:val="6B0C6592"/>
    <w:rsid w:val="6BBC227D"/>
    <w:rsid w:val="6F323085"/>
    <w:rsid w:val="724857AB"/>
    <w:rsid w:val="761F0E79"/>
    <w:rsid w:val="7BED0376"/>
    <w:rsid w:val="7E19007C"/>
    <w:rsid w:val="7E7331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等线" w:hAnsi="等线" w:eastAsia="等线" w:cs="Times New Roman"/>
      <w:color w:val="000000"/>
      <w:sz w:val="24"/>
      <w:szCs w:val="24"/>
      <w:lang w:val="en-US" w:eastAsia="zh-CN" w:bidi="ar-SA"/>
    </w:rPr>
  </w:style>
  <w:style w:type="paragraph" w:styleId="3">
    <w:name w:val="Body Text"/>
    <w:basedOn w:val="1"/>
    <w:next w:val="1"/>
    <w:qFormat/>
    <w:uiPriority w:val="0"/>
    <w:pPr>
      <w:jc w:val="center"/>
    </w:pPr>
    <w:rPr>
      <w:rFonts w:eastAsia="黑体"/>
      <w:sz w:val="44"/>
      <w:szCs w:val="21"/>
    </w:rPr>
  </w:style>
  <w:style w:type="paragraph" w:customStyle="1" w:styleId="6">
    <w:name w:val="表格正文2"/>
    <w:basedOn w:val="1"/>
    <w:qFormat/>
    <w:uiPriority w:val="0"/>
    <w:pPr>
      <w:jc w:val="center"/>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2021-07-07T00:35:00Z</dcterms:created>
  <dc:creator>HAHA1406039364</dc:creator>
  <cp:lastModifiedBy>Administrator</cp:lastModifiedBy>
  <dcterms:modified xsi:type="dcterms:W3CDTF">2021-12-13T03:38:24Z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A9AD658774C04E9F81BA5C54BF6B8AA0</vt:lpwstr>
  </property>
</Properties>
</file>